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864EC" w14:textId="77777777" w:rsidR="008533DC" w:rsidRDefault="008533DC">
      <w:pPr>
        <w:tabs>
          <w:tab w:val="left" w:pos="6480"/>
        </w:tabs>
        <w:spacing w:before="120"/>
        <w:jc w:val="center"/>
        <w:outlineLvl w:val="0"/>
        <w:rPr>
          <w:rFonts w:asciiTheme="minorHAnsi" w:hAnsiTheme="minorHAnsi" w:cstheme="minorHAnsi"/>
          <w:b/>
          <w:bCs/>
          <w:sz w:val="32"/>
          <w:szCs w:val="32"/>
        </w:rPr>
      </w:pPr>
    </w:p>
    <w:p w14:paraId="1CF46485" w14:textId="77777777" w:rsidR="008533DC" w:rsidRDefault="006774A7">
      <w:pPr>
        <w:pBdr>
          <w:top w:val="single" w:sz="4" w:space="1" w:color="000000"/>
          <w:left w:val="single" w:sz="4" w:space="4" w:color="000000"/>
          <w:bottom w:val="single" w:sz="4" w:space="1" w:color="000000"/>
          <w:right w:val="single" w:sz="4" w:space="4" w:color="000000"/>
        </w:pBdr>
        <w:tabs>
          <w:tab w:val="left" w:pos="6480"/>
        </w:tabs>
        <w:spacing w:before="120"/>
        <w:jc w:val="center"/>
        <w:outlineLvl w:val="0"/>
        <w:rPr>
          <w:rFonts w:asciiTheme="minorHAnsi" w:hAnsiTheme="minorHAnsi" w:cstheme="minorHAnsi"/>
          <w:b/>
          <w:bCs/>
          <w:caps/>
          <w:sz w:val="36"/>
          <w:szCs w:val="28"/>
          <w:lang w:val="en-GB"/>
        </w:rPr>
      </w:pPr>
      <w:r>
        <w:rPr>
          <w:rFonts w:asciiTheme="minorHAnsi" w:hAnsiTheme="minorHAnsi" w:cstheme="minorHAnsi"/>
          <w:b/>
          <w:bCs/>
          <w:caps/>
          <w:sz w:val="36"/>
          <w:szCs w:val="32"/>
          <w:lang w:val="en"/>
        </w:rPr>
        <w:t xml:space="preserve">Terms of reference </w:t>
      </w:r>
      <w:r>
        <w:rPr>
          <w:rFonts w:asciiTheme="minorHAnsi" w:hAnsiTheme="minorHAnsi" w:cstheme="minorHAnsi"/>
          <w:b/>
          <w:bCs/>
          <w:caps/>
          <w:sz w:val="36"/>
          <w:szCs w:val="32"/>
          <w:lang w:val="en"/>
        </w:rPr>
        <w:br/>
        <w:t>and technical Specifications</w:t>
      </w:r>
    </w:p>
    <w:p w14:paraId="66C1037C" w14:textId="77777777" w:rsidR="008533DC" w:rsidRDefault="008533DC">
      <w:pPr>
        <w:spacing w:before="60"/>
        <w:jc w:val="both"/>
        <w:outlineLvl w:val="0"/>
        <w:rPr>
          <w:rFonts w:asciiTheme="minorHAnsi" w:hAnsiTheme="minorHAnsi" w:cstheme="minorHAnsi"/>
          <w:sz w:val="22"/>
          <w:szCs w:val="22"/>
          <w:lang w:val="en-GB"/>
        </w:rPr>
      </w:pPr>
    </w:p>
    <w:p w14:paraId="15AF9A45"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General information</w:t>
      </w:r>
    </w:p>
    <w:p w14:paraId="0CBE03F7" w14:textId="77777777" w:rsidR="008533DC" w:rsidRDefault="008533DC">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8533DC" w14:paraId="7443C663" w14:textId="77777777">
        <w:trPr>
          <w:trHeight w:val="394"/>
        </w:trPr>
        <w:tc>
          <w:tcPr>
            <w:tcW w:w="2903" w:type="dxa"/>
            <w:tcBorders>
              <w:top w:val="single" w:sz="4" w:space="0" w:color="auto"/>
              <w:bottom w:val="single" w:sz="4" w:space="0" w:color="auto"/>
              <w:right w:val="single" w:sz="2" w:space="0" w:color="000000"/>
            </w:tcBorders>
            <w:shd w:val="clear" w:color="auto" w:fill="E6E6E6"/>
          </w:tcPr>
          <w:p w14:paraId="70AAC55D" w14:textId="77777777" w:rsidR="008533DC" w:rsidRDefault="006774A7">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Assignment name</w:t>
            </w:r>
          </w:p>
        </w:tc>
        <w:tc>
          <w:tcPr>
            <w:tcW w:w="6169" w:type="dxa"/>
            <w:tcBorders>
              <w:top w:val="single" w:sz="4" w:space="0" w:color="auto"/>
              <w:left w:val="single" w:sz="2" w:space="0" w:color="000000"/>
              <w:bottom w:val="single" w:sz="4" w:space="0" w:color="auto"/>
            </w:tcBorders>
          </w:tcPr>
          <w:p w14:paraId="6262682F" w14:textId="77777777" w:rsidR="008533DC" w:rsidRDefault="006774A7">
            <w:pPr>
              <w:spacing w:before="60"/>
              <w:jc w:val="center"/>
              <w:outlineLvl w:val="0"/>
              <w:rPr>
                <w:rFonts w:asciiTheme="minorHAnsi" w:hAnsiTheme="minorHAnsi" w:cstheme="minorHAnsi"/>
                <w:sz w:val="22"/>
                <w:szCs w:val="22"/>
                <w:lang w:val="en-GB"/>
              </w:rPr>
            </w:pPr>
            <w:r>
              <w:rPr>
                <w:rFonts w:asciiTheme="minorHAnsi" w:hAnsiTheme="minorHAnsi" w:cstheme="minorHAnsi"/>
                <w:sz w:val="22"/>
                <w:szCs w:val="22"/>
                <w:lang w:val="en-GB"/>
              </w:rPr>
              <w:t>Soil analysis &amp; restoration after mining</w:t>
            </w:r>
          </w:p>
        </w:tc>
      </w:tr>
      <w:tr w:rsidR="008533DC" w14:paraId="58D4B0DA" w14:textId="77777777">
        <w:trPr>
          <w:trHeight w:val="315"/>
        </w:trPr>
        <w:tc>
          <w:tcPr>
            <w:tcW w:w="2903" w:type="dxa"/>
            <w:tcBorders>
              <w:top w:val="single" w:sz="4" w:space="0" w:color="auto"/>
              <w:bottom w:val="single" w:sz="4" w:space="0" w:color="auto"/>
              <w:right w:val="single" w:sz="2" w:space="0" w:color="000000"/>
            </w:tcBorders>
            <w:shd w:val="clear" w:color="auto" w:fill="E6E6E6"/>
          </w:tcPr>
          <w:p w14:paraId="671EB2B5" w14:textId="77777777" w:rsidR="008533DC" w:rsidRDefault="006774A7">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Beneficiary</w:t>
            </w:r>
          </w:p>
        </w:tc>
        <w:tc>
          <w:tcPr>
            <w:tcW w:w="6169" w:type="dxa"/>
            <w:tcBorders>
              <w:top w:val="single" w:sz="4" w:space="0" w:color="auto"/>
              <w:left w:val="single" w:sz="2" w:space="0" w:color="000000"/>
              <w:bottom w:val="single" w:sz="4" w:space="0" w:color="auto"/>
            </w:tcBorders>
          </w:tcPr>
          <w:p w14:paraId="1FBAB594" w14:textId="77777777" w:rsidR="008533DC" w:rsidRDefault="006774A7">
            <w:pPr>
              <w:spacing w:before="60"/>
              <w:jc w:val="center"/>
              <w:outlineLvl w:val="0"/>
              <w:rPr>
                <w:rFonts w:asciiTheme="minorHAnsi" w:hAnsiTheme="minorHAnsi" w:cstheme="minorHAnsi"/>
                <w:sz w:val="22"/>
                <w:szCs w:val="22"/>
                <w:lang w:val="en-GB"/>
              </w:rPr>
            </w:pPr>
            <w:r>
              <w:rPr>
                <w:rFonts w:asciiTheme="minorHAnsi" w:hAnsiTheme="minorHAnsi" w:cstheme="minorHAnsi"/>
                <w:sz w:val="22"/>
                <w:szCs w:val="22"/>
                <w:lang w:val="en-GB"/>
              </w:rPr>
              <w:t>Guyana Forestry Commission</w:t>
            </w:r>
          </w:p>
        </w:tc>
      </w:tr>
      <w:tr w:rsidR="008533DC" w14:paraId="554FEE59" w14:textId="77777777">
        <w:trPr>
          <w:trHeight w:val="330"/>
        </w:trPr>
        <w:tc>
          <w:tcPr>
            <w:tcW w:w="2903" w:type="dxa"/>
            <w:tcBorders>
              <w:top w:val="single" w:sz="4" w:space="0" w:color="auto"/>
              <w:bottom w:val="single" w:sz="4" w:space="0" w:color="auto"/>
              <w:right w:val="single" w:sz="2" w:space="0" w:color="000000"/>
            </w:tcBorders>
            <w:shd w:val="clear" w:color="auto" w:fill="E6E6E6"/>
          </w:tcPr>
          <w:p w14:paraId="72917CF9" w14:textId="77777777" w:rsidR="008533DC" w:rsidRDefault="006774A7">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Country</w:t>
            </w:r>
          </w:p>
        </w:tc>
        <w:tc>
          <w:tcPr>
            <w:tcW w:w="6169" w:type="dxa"/>
            <w:tcBorders>
              <w:top w:val="single" w:sz="4" w:space="0" w:color="auto"/>
              <w:left w:val="single" w:sz="2" w:space="0" w:color="000000"/>
              <w:bottom w:val="single" w:sz="4" w:space="0" w:color="auto"/>
            </w:tcBorders>
            <w:vAlign w:val="bottom"/>
          </w:tcPr>
          <w:p w14:paraId="52745E3B" w14:textId="77777777" w:rsidR="008533DC" w:rsidRDefault="006774A7">
            <w:pPr>
              <w:jc w:val="center"/>
              <w:rPr>
                <w:rFonts w:asciiTheme="minorHAnsi" w:hAnsiTheme="minorHAnsi" w:cstheme="minorHAnsi"/>
                <w:sz w:val="22"/>
                <w:szCs w:val="22"/>
                <w:lang w:val="en-GB"/>
              </w:rPr>
            </w:pPr>
            <w:r>
              <w:rPr>
                <w:rFonts w:asciiTheme="minorHAnsi" w:hAnsiTheme="minorHAnsi" w:cstheme="minorHAnsi"/>
                <w:sz w:val="22"/>
                <w:szCs w:val="22"/>
                <w:lang w:val="en-GB"/>
              </w:rPr>
              <w:t>Guyana</w:t>
            </w:r>
          </w:p>
        </w:tc>
      </w:tr>
      <w:tr w:rsidR="008533DC" w14:paraId="0F6D9E7F" w14:textId="77777777">
        <w:trPr>
          <w:trHeight w:val="330"/>
        </w:trPr>
        <w:tc>
          <w:tcPr>
            <w:tcW w:w="2903" w:type="dxa"/>
            <w:tcBorders>
              <w:top w:val="single" w:sz="4" w:space="0" w:color="auto"/>
              <w:bottom w:val="single" w:sz="4" w:space="0" w:color="auto"/>
              <w:right w:val="single" w:sz="2" w:space="0" w:color="000000"/>
            </w:tcBorders>
            <w:shd w:val="clear" w:color="auto" w:fill="E6E6E6"/>
          </w:tcPr>
          <w:p w14:paraId="7677C244" w14:textId="77777777" w:rsidR="008533DC" w:rsidRDefault="006774A7">
            <w:pPr>
              <w:spacing w:before="60"/>
              <w:outlineLvl w:val="0"/>
              <w:rPr>
                <w:rFonts w:asciiTheme="minorHAnsi" w:hAnsiTheme="minorHAnsi" w:cstheme="minorHAnsi"/>
                <w:sz w:val="22"/>
                <w:szCs w:val="22"/>
                <w:lang w:val="en-GB"/>
              </w:rPr>
            </w:pPr>
            <w:r>
              <w:rPr>
                <w:rFonts w:asciiTheme="minorHAnsi" w:hAnsiTheme="minorHAnsi" w:cstheme="minorHAnsi"/>
                <w:sz w:val="22"/>
                <w:szCs w:val="22"/>
                <w:lang w:val="en-GB"/>
              </w:rPr>
              <w:t>Total estimated number of months</w:t>
            </w:r>
          </w:p>
        </w:tc>
        <w:tc>
          <w:tcPr>
            <w:tcW w:w="6169" w:type="dxa"/>
            <w:tcBorders>
              <w:top w:val="single" w:sz="4" w:space="0" w:color="auto"/>
              <w:left w:val="single" w:sz="2" w:space="0" w:color="000000"/>
              <w:bottom w:val="single" w:sz="4" w:space="0" w:color="auto"/>
            </w:tcBorders>
          </w:tcPr>
          <w:p w14:paraId="6B64A728" w14:textId="735E1B73" w:rsidR="008533DC" w:rsidRDefault="006774A7">
            <w:pPr>
              <w:spacing w:before="60"/>
              <w:jc w:val="center"/>
              <w:outlineLvl w:val="0"/>
              <w:rPr>
                <w:rFonts w:asciiTheme="minorHAnsi" w:hAnsiTheme="minorHAnsi" w:cstheme="minorHAnsi"/>
                <w:sz w:val="22"/>
                <w:szCs w:val="22"/>
                <w:lang w:val="en-GB"/>
              </w:rPr>
            </w:pPr>
            <w:r w:rsidRPr="00C32F3C">
              <w:rPr>
                <w:rFonts w:asciiTheme="minorHAnsi" w:hAnsiTheme="minorHAnsi" w:cstheme="minorHAnsi"/>
                <w:sz w:val="22"/>
                <w:szCs w:val="22"/>
                <w:lang w:val="en-GB"/>
              </w:rPr>
              <w:t>7 months</w:t>
            </w:r>
            <w:r w:rsidR="00C32F3C" w:rsidRPr="00C32F3C">
              <w:rPr>
                <w:rFonts w:asciiTheme="minorHAnsi" w:hAnsiTheme="minorHAnsi" w:cstheme="minorHAnsi"/>
                <w:sz w:val="22"/>
                <w:szCs w:val="22"/>
                <w:lang w:val="en-GB"/>
              </w:rPr>
              <w:t xml:space="preserve"> firm / 7 </w:t>
            </w:r>
            <w:r w:rsidR="004A0D1C" w:rsidRPr="00C32F3C">
              <w:rPr>
                <w:rFonts w:asciiTheme="minorHAnsi" w:hAnsiTheme="minorHAnsi" w:cstheme="minorHAnsi"/>
                <w:sz w:val="22"/>
                <w:szCs w:val="22"/>
                <w:lang w:val="en-GB"/>
              </w:rPr>
              <w:t>months renewable</w:t>
            </w:r>
            <w:bookmarkStart w:id="0" w:name="_GoBack"/>
            <w:bookmarkEnd w:id="0"/>
          </w:p>
        </w:tc>
      </w:tr>
    </w:tbl>
    <w:p w14:paraId="7B663670" w14:textId="77777777" w:rsidR="008533DC" w:rsidRDefault="008533DC">
      <w:pPr>
        <w:spacing w:before="60"/>
        <w:jc w:val="both"/>
        <w:outlineLvl w:val="0"/>
        <w:rPr>
          <w:rFonts w:asciiTheme="minorHAnsi" w:hAnsiTheme="minorHAnsi" w:cstheme="minorHAnsi"/>
          <w:sz w:val="22"/>
          <w:szCs w:val="22"/>
          <w:lang w:val="en-US"/>
        </w:rPr>
      </w:pPr>
    </w:p>
    <w:p w14:paraId="1B4371C2"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Context and justification of the need</w:t>
      </w:r>
    </w:p>
    <w:p w14:paraId="056FD7C0" w14:textId="77777777" w:rsidR="008533DC" w:rsidRDefault="006774A7">
      <w:pPr>
        <w:pStyle w:val="Titre1"/>
        <w:numPr>
          <w:ilvl w:val="0"/>
          <w:numId w:val="10"/>
        </w:numPr>
        <w:rPr>
          <w:rFonts w:asciiTheme="minorHAnsi" w:eastAsia="Arial Unicode MS" w:hAnsiTheme="minorHAnsi" w:cstheme="minorHAnsi"/>
          <w:b/>
          <w:bCs/>
          <w:color w:val="auto"/>
          <w:sz w:val="22"/>
          <w:szCs w:val="22"/>
          <w:lang w:val="en"/>
        </w:rPr>
      </w:pPr>
      <w:bookmarkStart w:id="1" w:name="_Toc189747843"/>
      <w:r>
        <w:rPr>
          <w:rFonts w:asciiTheme="minorHAnsi" w:eastAsia="Arial Unicode MS" w:hAnsiTheme="minorHAnsi" w:cstheme="minorHAnsi"/>
          <w:b/>
          <w:bCs/>
          <w:color w:val="auto"/>
          <w:sz w:val="22"/>
          <w:szCs w:val="22"/>
          <w:lang w:val="en"/>
        </w:rPr>
        <w:t>Expertise France</w:t>
      </w:r>
      <w:bookmarkEnd w:id="1"/>
    </w:p>
    <w:p w14:paraId="2EB4A409" w14:textId="77777777" w:rsidR="008533DC" w:rsidRDefault="008533DC">
      <w:pPr>
        <w:rPr>
          <w:lang w:val="en"/>
        </w:rPr>
      </w:pPr>
    </w:p>
    <w:p w14:paraId="6305CB74" w14:textId="77777777" w:rsidR="008533DC" w:rsidRDefault="006774A7">
      <w:pPr>
        <w:pStyle w:val="paragraph"/>
        <w:spacing w:before="0" w:beforeAutospacing="0" w:after="0" w:afterAutospacing="0"/>
        <w:jc w:val="both"/>
        <w:rPr>
          <w:rStyle w:val="scxw189121755"/>
          <w:rFonts w:asciiTheme="minorHAnsi" w:hAnsiTheme="minorHAnsi" w:cstheme="minorHAnsi"/>
          <w:sz w:val="22"/>
          <w:szCs w:val="22"/>
          <w:lang w:val="en-GB"/>
        </w:rPr>
      </w:pPr>
      <w:r>
        <w:rPr>
          <w:rStyle w:val="normaltextrun"/>
          <w:rFonts w:asciiTheme="minorHAnsi" w:hAnsiTheme="minorHAnsi" w:cstheme="minorHAnsi"/>
          <w:sz w:val="22"/>
          <w:szCs w:val="22"/>
          <w:lang w:val="en-GB"/>
        </w:rPr>
        <w:t>Expertise France (EF) is a public agency and the inter-ministerial actor in international technical cooperation, subsidiary of the Agence Française de Développement Group (AFD Group). As the second largest agency in Europe, it designs and implements projects that sustainably strengthen public policies in developing and emerging countries. Governance, security, climate, health, education… It operates in key areas of development and contributes alongside its partners to the implementation of the Sustainable Development Goals (SDGs). For a world in common.</w:t>
      </w:r>
    </w:p>
    <w:p w14:paraId="705B0757" w14:textId="77777777" w:rsidR="008533DC" w:rsidRDefault="008533DC">
      <w:pPr>
        <w:pStyle w:val="paragraph"/>
        <w:spacing w:before="0" w:beforeAutospacing="0" w:after="0" w:afterAutospacing="0"/>
        <w:jc w:val="both"/>
        <w:rPr>
          <w:rFonts w:asciiTheme="minorHAnsi" w:hAnsiTheme="minorHAnsi" w:cstheme="minorHAnsi"/>
          <w:sz w:val="22"/>
          <w:szCs w:val="22"/>
          <w:lang w:val="en-GB"/>
        </w:rPr>
      </w:pPr>
    </w:p>
    <w:p w14:paraId="6F358B84" w14:textId="77777777" w:rsidR="008533DC" w:rsidRDefault="006774A7">
      <w:pPr>
        <w:pStyle w:val="paragraph"/>
        <w:spacing w:before="0" w:beforeAutospacing="0" w:after="0" w:afterAutospacing="0"/>
        <w:jc w:val="both"/>
        <w:rPr>
          <w:rStyle w:val="eop"/>
          <w:rFonts w:asciiTheme="minorHAnsi" w:hAnsiTheme="minorHAnsi" w:cstheme="minorHAnsi"/>
          <w:sz w:val="22"/>
          <w:szCs w:val="22"/>
          <w:lang w:val="en-GB"/>
        </w:rPr>
      </w:pPr>
      <w:r>
        <w:rPr>
          <w:rStyle w:val="normaltextrun"/>
          <w:rFonts w:asciiTheme="minorHAnsi" w:hAnsiTheme="minorHAnsi" w:cstheme="minorHAnsi"/>
          <w:sz w:val="22"/>
          <w:szCs w:val="22"/>
          <w:lang w:val="en-GB"/>
        </w:rPr>
        <w:t xml:space="preserve">For more information: </w:t>
      </w:r>
      <w:hyperlink r:id="rId8" w:tooltip="http://www.expertisefrance.fr/" w:history="1">
        <w:r>
          <w:rPr>
            <w:rStyle w:val="normaltextrun"/>
            <w:rFonts w:asciiTheme="minorHAnsi" w:hAnsiTheme="minorHAnsi" w:cstheme="minorHAnsi"/>
            <w:color w:val="0000FF"/>
            <w:sz w:val="22"/>
            <w:szCs w:val="22"/>
            <w:u w:val="single"/>
            <w:lang w:val="en-GB"/>
          </w:rPr>
          <w:t>www.expertisefrance.fr</w:t>
        </w:r>
      </w:hyperlink>
      <w:r>
        <w:rPr>
          <w:rStyle w:val="normaltextrun"/>
          <w:rFonts w:asciiTheme="minorHAnsi" w:hAnsiTheme="minorHAnsi" w:cstheme="minorHAnsi"/>
          <w:sz w:val="22"/>
          <w:szCs w:val="22"/>
          <w:lang w:val="en-GB"/>
        </w:rPr>
        <w:t> </w:t>
      </w:r>
      <w:r>
        <w:rPr>
          <w:rStyle w:val="eop"/>
          <w:rFonts w:asciiTheme="minorHAnsi" w:hAnsiTheme="minorHAnsi" w:cstheme="minorHAnsi"/>
          <w:sz w:val="22"/>
          <w:szCs w:val="22"/>
          <w:lang w:val="en-GB"/>
        </w:rPr>
        <w:t> </w:t>
      </w:r>
    </w:p>
    <w:p w14:paraId="74362AFB" w14:textId="77777777" w:rsidR="008533DC" w:rsidRDefault="008533DC">
      <w:pPr>
        <w:pStyle w:val="paragraph"/>
        <w:spacing w:before="0" w:beforeAutospacing="0" w:after="0" w:afterAutospacing="0"/>
        <w:jc w:val="both"/>
        <w:rPr>
          <w:rFonts w:asciiTheme="minorHAnsi" w:hAnsiTheme="minorHAnsi" w:cstheme="minorHAnsi"/>
          <w:sz w:val="22"/>
          <w:szCs w:val="22"/>
          <w:lang w:val="en-GB"/>
        </w:rPr>
      </w:pPr>
    </w:p>
    <w:p w14:paraId="5D1BCBE7" w14:textId="77777777" w:rsidR="008533DC" w:rsidRDefault="006774A7">
      <w:pPr>
        <w:pStyle w:val="Titre1"/>
        <w:numPr>
          <w:ilvl w:val="0"/>
          <w:numId w:val="10"/>
        </w:numPr>
        <w:rPr>
          <w:rFonts w:asciiTheme="minorHAnsi" w:eastAsia="Arial Unicode MS" w:hAnsiTheme="minorHAnsi" w:cstheme="minorHAnsi"/>
          <w:b/>
          <w:bCs/>
          <w:color w:val="auto"/>
          <w:sz w:val="22"/>
          <w:szCs w:val="22"/>
          <w:lang w:val="en-GB"/>
        </w:rPr>
      </w:pPr>
      <w:bookmarkStart w:id="2" w:name="_Toc189747844"/>
      <w:r>
        <w:rPr>
          <w:rFonts w:asciiTheme="minorHAnsi" w:eastAsia="Arial Unicode MS" w:hAnsiTheme="minorHAnsi" w:cstheme="minorHAnsi"/>
          <w:b/>
          <w:bCs/>
          <w:color w:val="auto"/>
          <w:sz w:val="22"/>
          <w:szCs w:val="22"/>
          <w:lang w:val="en-GB"/>
        </w:rPr>
        <w:t>The Euroclima programme</w:t>
      </w:r>
      <w:bookmarkEnd w:id="2"/>
    </w:p>
    <w:p w14:paraId="0E6A4C57" w14:textId="77777777" w:rsidR="008533DC" w:rsidRDefault="008533DC">
      <w:pPr>
        <w:rPr>
          <w:lang w:val="en-GB"/>
        </w:rPr>
      </w:pPr>
    </w:p>
    <w:p w14:paraId="1EFF5CE8" w14:textId="77777777" w:rsidR="008533DC" w:rsidRDefault="006774A7">
      <w:pPr>
        <w:pStyle w:val="Paragraphedeliste2"/>
        <w:spacing w:after="200" w:line="276" w:lineRule="auto"/>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Euroclima is the European Union's (EU) flagship cooperation programme on environmental sustainability and climate change in Latin America and the Caribbean (LAC). It aims to contribute to the LAC region's green transition, through efforts to mitigate and adapt to climate change and to protect and conserve biological diversity. Two main outcomes are expected:</w:t>
      </w:r>
    </w:p>
    <w:p w14:paraId="459BE5B5" w14:textId="77777777" w:rsidR="008533DC" w:rsidRDefault="006774A7">
      <w:pPr>
        <w:pStyle w:val="Paragraphedeliste2"/>
        <w:numPr>
          <w:ilvl w:val="0"/>
          <w:numId w:val="8"/>
        </w:numPr>
        <w:spacing w:after="200"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enabling environment for a green transition (integrated policies, legal frameworks, sector plans and financial instruments) will be strengthened, in line with climate, biodiversity and circular economy objectives.</w:t>
      </w:r>
    </w:p>
    <w:p w14:paraId="08C817CA" w14:textId="77777777" w:rsidR="008533DC" w:rsidRDefault="006774A7">
      <w:pPr>
        <w:pStyle w:val="Paragraphedeliste2"/>
        <w:numPr>
          <w:ilvl w:val="0"/>
          <w:numId w:val="8"/>
        </w:numPr>
        <w:spacing w:after="200" w:line="276" w:lineRule="auto"/>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Transformative approaches in key areas for the green transition will be developed, demonstrated and scaled up through the mobilization of public and private funding.</w:t>
      </w:r>
    </w:p>
    <w:p w14:paraId="7F455B59" w14:textId="77777777" w:rsidR="008533DC" w:rsidRDefault="008533DC">
      <w:pPr>
        <w:pStyle w:val="Paragraphedeliste2"/>
        <w:spacing w:after="200" w:line="276" w:lineRule="auto"/>
        <w:ind w:left="0"/>
        <w:contextualSpacing/>
        <w:jc w:val="both"/>
        <w:rPr>
          <w:rFonts w:asciiTheme="minorHAnsi" w:hAnsiTheme="minorHAnsi" w:cstheme="minorHAnsi"/>
          <w:sz w:val="22"/>
          <w:szCs w:val="22"/>
          <w:lang w:val="en-GB"/>
        </w:rPr>
      </w:pPr>
    </w:p>
    <w:p w14:paraId="22CE63AA" w14:textId="77777777" w:rsidR="008533DC" w:rsidRDefault="006774A7">
      <w:pPr>
        <w:pStyle w:val="Paragraphedeliste2"/>
        <w:spacing w:after="200" w:line="276" w:lineRule="auto"/>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Euroclima contributes to the implementation of the Global Gateway Investment Agenda in the region. Global Gateway is the EU’s offer to bridge the infrastructure investment gap by using public financing to leverage private capital and investment for projects that contribute to the green and digital twin transition. In the Caribbean region, Euroclima is funded by the European Commission, for a 5-year period, and is implemented by EU Member States agencies or MSAs (AECID, Expertise France, FIIAPP, GIZ) and the UN (ECLAC, UNDP, UN Environment). The programme forms part of the regional Team Europe Initiatives “Latin America and Caribbean Green Transition” and "A Partnership for a Caribbean Green Deal".</w:t>
      </w:r>
    </w:p>
    <w:p w14:paraId="62D22DD3"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Through Euroclima, the EU has initiated Country Dialogues to enhance its role in defining cooperation priorities. The Country Dialogue is conducted with the key institutions for climate action in each country, which allows for the alignment of the program’s strategies with nationally established priorities to ensure cohesion and synergies with other activities. In consultation and coordination with the country and under the leadership of the National Focal Point (NFP), the programme supports the design of the Dialogue process on a case-by-case basis.</w:t>
      </w:r>
    </w:p>
    <w:p w14:paraId="3434D2EB" w14:textId="77777777" w:rsidR="008533DC" w:rsidRDefault="006774A7">
      <w:pPr>
        <w:pStyle w:val="paragraph"/>
        <w:spacing w:before="0" w:beforeAutospacing="0" w:after="0" w:afterAutospacing="0"/>
        <w:jc w:val="both"/>
        <w:rPr>
          <w:rStyle w:val="eop"/>
          <w:rFonts w:asciiTheme="minorHAnsi" w:hAnsiTheme="minorHAnsi" w:cstheme="minorHAnsi"/>
          <w:sz w:val="22"/>
          <w:szCs w:val="22"/>
          <w:lang w:val="en-GB"/>
        </w:rPr>
      </w:pPr>
      <w:r>
        <w:rPr>
          <w:rStyle w:val="normaltextrun"/>
          <w:rFonts w:asciiTheme="minorHAnsi" w:hAnsiTheme="minorHAnsi" w:cstheme="minorHAnsi"/>
          <w:sz w:val="22"/>
          <w:szCs w:val="22"/>
          <w:lang w:val="en-GB"/>
        </w:rPr>
        <w:t>For more information: https://www.euroclima.org/</w:t>
      </w:r>
    </w:p>
    <w:p w14:paraId="698C3DFC" w14:textId="77777777" w:rsidR="008533DC" w:rsidRDefault="008533DC">
      <w:pPr>
        <w:jc w:val="both"/>
        <w:rPr>
          <w:rFonts w:asciiTheme="minorHAnsi" w:hAnsiTheme="minorHAnsi" w:cstheme="minorHAnsi"/>
          <w:sz w:val="22"/>
          <w:szCs w:val="22"/>
          <w:lang w:val="en-GB"/>
        </w:rPr>
      </w:pPr>
    </w:p>
    <w:p w14:paraId="4432EABA" w14:textId="77777777" w:rsidR="008533DC" w:rsidRDefault="006774A7">
      <w:pPr>
        <w:pStyle w:val="Titre1"/>
        <w:numPr>
          <w:ilvl w:val="0"/>
          <w:numId w:val="10"/>
        </w:numPr>
        <w:rPr>
          <w:rFonts w:asciiTheme="minorHAnsi" w:eastAsia="Arial Unicode MS" w:hAnsiTheme="minorHAnsi" w:cstheme="minorHAnsi"/>
          <w:b/>
          <w:bCs/>
          <w:color w:val="auto"/>
          <w:sz w:val="22"/>
          <w:szCs w:val="22"/>
          <w:lang w:val="en-GB"/>
        </w:rPr>
      </w:pPr>
      <w:bookmarkStart w:id="3" w:name="_Toc189747845"/>
      <w:r>
        <w:rPr>
          <w:rFonts w:asciiTheme="minorHAnsi" w:eastAsia="Arial Unicode MS" w:hAnsiTheme="minorHAnsi" w:cstheme="minorHAnsi"/>
          <w:b/>
          <w:bCs/>
          <w:color w:val="auto"/>
          <w:sz w:val="22"/>
          <w:szCs w:val="22"/>
          <w:lang w:val="en-GB"/>
        </w:rPr>
        <w:t>The Euroclima programme in Guyana</w:t>
      </w:r>
      <w:bookmarkEnd w:id="3"/>
    </w:p>
    <w:p w14:paraId="7063B6E9" w14:textId="77777777" w:rsidR="008533DC" w:rsidRDefault="008533DC">
      <w:pPr>
        <w:rPr>
          <w:lang w:val="en-GB"/>
        </w:rPr>
      </w:pPr>
    </w:p>
    <w:p w14:paraId="3C6D0494"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The Country dialogue was initiated in 2023, with the Ministry of Natural Resources of the Cooperative Republic of Guyana being the NFP. The latter outlined that the government’s priority needs lay in the</w:t>
      </w:r>
      <w:r>
        <w:rPr>
          <w:rFonts w:asciiTheme="minorHAnsi" w:hAnsiTheme="minorHAnsi" w:cstheme="minorHAnsi"/>
          <w:b/>
          <w:bCs/>
          <w:sz w:val="22"/>
          <w:szCs w:val="22"/>
          <w:lang w:val="en-GB"/>
        </w:rPr>
        <w:t xml:space="preserve"> </w:t>
      </w:r>
      <w:r>
        <w:rPr>
          <w:rFonts w:asciiTheme="minorHAnsi" w:hAnsiTheme="minorHAnsi" w:cstheme="minorHAnsi"/>
          <w:bCs/>
          <w:sz w:val="22"/>
          <w:szCs w:val="22"/>
          <w:lang w:val="en-GB"/>
        </w:rPr>
        <w:t>forestry sector</w:t>
      </w:r>
      <w:r>
        <w:rPr>
          <w:rFonts w:asciiTheme="minorHAnsi" w:hAnsiTheme="minorHAnsi" w:cstheme="minorHAnsi"/>
          <w:sz w:val="22"/>
          <w:szCs w:val="22"/>
          <w:lang w:val="en-GB"/>
        </w:rPr>
        <w:t xml:space="preserve"> particularly emphasizing the urgency of reforestation efforts. The national forest loss is significantly low, equals to 0.048% in 2017, but is facing growing threats comprising depletion of the mangrove fringe and the expansion of the extractive industry. This mainly small-scale mining is the main driver of deforestation and land degradation. In this context, the country identifies the restoration of degraded areas as a nation-wide priority. Furthermore, specific support has been solicited for the feasibility of a bamboo reforestation pilot project within this overarching context of environmental conservation and sustainable livelihoods for local communities.</w:t>
      </w:r>
    </w:p>
    <w:p w14:paraId="3D556607"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As a reminder, the Global Gateway Investment Agenda (GGIA) of the EU in Guyana focuses on four areas:</w:t>
      </w:r>
    </w:p>
    <w:p w14:paraId="1037E03B" w14:textId="77777777" w:rsidR="008533DC" w:rsidRDefault="006774A7">
      <w:pPr>
        <w:pStyle w:val="Paragraphedeliste"/>
        <w:numPr>
          <w:ilvl w:val="0"/>
          <w:numId w:val="9"/>
        </w:numPr>
        <w:spacing w:after="160" w:line="259" w:lineRule="auto"/>
        <w:jc w:val="both"/>
        <w:rPr>
          <w:rFonts w:asciiTheme="minorHAnsi" w:hAnsiTheme="minorHAnsi" w:cstheme="minorHAnsi"/>
          <w:sz w:val="22"/>
          <w:szCs w:val="22"/>
          <w:lang w:val="en-GB"/>
        </w:rPr>
      </w:pPr>
      <w:r>
        <w:rPr>
          <w:rFonts w:asciiTheme="minorHAnsi" w:hAnsiTheme="minorHAnsi" w:cstheme="minorHAnsi"/>
          <w:sz w:val="22"/>
          <w:szCs w:val="22"/>
          <w:lang w:val="en-GB"/>
        </w:rPr>
        <w:t>Health and pharmaceuticals.</w:t>
      </w:r>
    </w:p>
    <w:p w14:paraId="4AA1E810" w14:textId="77777777" w:rsidR="008533DC" w:rsidRDefault="006774A7">
      <w:pPr>
        <w:pStyle w:val="Paragraphedeliste"/>
        <w:numPr>
          <w:ilvl w:val="0"/>
          <w:numId w:val="9"/>
        </w:numPr>
        <w:spacing w:after="160" w:line="259" w:lineRule="auto"/>
        <w:jc w:val="both"/>
        <w:rPr>
          <w:rFonts w:asciiTheme="minorHAnsi" w:hAnsiTheme="minorHAnsi" w:cstheme="minorHAnsi"/>
          <w:sz w:val="22"/>
          <w:szCs w:val="22"/>
          <w:lang w:val="en-GB"/>
        </w:rPr>
      </w:pPr>
      <w:r>
        <w:rPr>
          <w:rFonts w:asciiTheme="minorHAnsi" w:hAnsiTheme="minorHAnsi" w:cstheme="minorHAnsi"/>
          <w:sz w:val="22"/>
          <w:szCs w:val="22"/>
          <w:lang w:val="en-GB"/>
        </w:rPr>
        <w:t>Renewable Energy.</w:t>
      </w:r>
    </w:p>
    <w:p w14:paraId="4050833B" w14:textId="77777777" w:rsidR="008533DC" w:rsidRDefault="006774A7">
      <w:pPr>
        <w:pStyle w:val="Paragraphedeliste"/>
        <w:numPr>
          <w:ilvl w:val="0"/>
          <w:numId w:val="9"/>
        </w:numPr>
        <w:spacing w:after="160" w:line="259" w:lineRule="auto"/>
        <w:jc w:val="both"/>
        <w:rPr>
          <w:rFonts w:asciiTheme="minorHAnsi" w:hAnsiTheme="minorHAnsi" w:cstheme="minorHAnsi"/>
          <w:sz w:val="22"/>
          <w:szCs w:val="22"/>
          <w:lang w:val="en-GB"/>
        </w:rPr>
      </w:pPr>
      <w:r>
        <w:rPr>
          <w:rFonts w:asciiTheme="minorHAnsi" w:hAnsiTheme="minorHAnsi" w:cstheme="minorHAnsi"/>
          <w:sz w:val="22"/>
          <w:szCs w:val="22"/>
          <w:lang w:val="en-GB"/>
        </w:rPr>
        <w:t>Water.</w:t>
      </w:r>
    </w:p>
    <w:p w14:paraId="6BC74AF8" w14:textId="77777777" w:rsidR="008533DC" w:rsidRDefault="006774A7">
      <w:pPr>
        <w:pStyle w:val="Paragraphedeliste"/>
        <w:numPr>
          <w:ilvl w:val="0"/>
          <w:numId w:val="9"/>
        </w:numPr>
        <w:spacing w:after="160" w:line="259" w:lineRule="auto"/>
        <w:jc w:val="both"/>
        <w:rPr>
          <w:rFonts w:asciiTheme="minorHAnsi" w:hAnsiTheme="minorHAnsi" w:cstheme="minorHAnsi"/>
          <w:sz w:val="22"/>
          <w:szCs w:val="22"/>
          <w:lang w:val="en-GB"/>
        </w:rPr>
      </w:pPr>
      <w:r>
        <w:rPr>
          <w:rFonts w:asciiTheme="minorHAnsi" w:hAnsiTheme="minorHAnsi" w:cstheme="minorHAnsi"/>
          <w:sz w:val="22"/>
          <w:szCs w:val="22"/>
          <w:lang w:val="en-GB"/>
        </w:rPr>
        <w:t>Forest added value.</w:t>
      </w:r>
    </w:p>
    <w:p w14:paraId="5793F272"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The EU is a long-standing partner of Guyana and focuses its support on the forestry sector through the Forest Law Governance and Trade Voluntary Partnership Agreement – FLEGT VPA (entered into force mid 2023) and the signing of a Forest Partnership Memorandum of Understanding during the COP27 (December 15, 2022). The FP MoU aims at enhancing the role of Guyana’s forest in sustainable and inclusive national development, and addressing challenges related to deforestation, forest degradation, climate change and loss of biodiversity.</w:t>
      </w:r>
    </w:p>
    <w:p w14:paraId="61C8DE0C" w14:textId="77777777" w:rsidR="008533DC" w:rsidRDefault="006774A7">
      <w:pPr>
        <w:pStyle w:val="Paragraphedeliste2"/>
        <w:spacing w:after="200" w:line="276" w:lineRule="auto"/>
        <w:ind w:left="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In this context, Euroclima will enable the restoration of mined-out areas and the increase of sustainable economic opportunities for local communities and thus contribute to specific objectives of the MoU including increasing the area of restored or sustainable managed forests and increasing the number of forest-related decent jobs.</w:t>
      </w:r>
    </w:p>
    <w:p w14:paraId="71FB5C01" w14:textId="77777777" w:rsidR="008533DC" w:rsidRDefault="008533DC">
      <w:pPr>
        <w:pStyle w:val="Paragraphedeliste2"/>
        <w:spacing w:after="200" w:line="276" w:lineRule="auto"/>
        <w:ind w:left="0"/>
        <w:contextualSpacing/>
        <w:jc w:val="both"/>
        <w:rPr>
          <w:rFonts w:asciiTheme="minorHAnsi" w:hAnsiTheme="minorHAnsi" w:cstheme="minorHAnsi"/>
          <w:sz w:val="22"/>
          <w:szCs w:val="22"/>
          <w:lang w:val="en-GB"/>
        </w:rPr>
      </w:pPr>
    </w:p>
    <w:p w14:paraId="530596E9" w14:textId="77777777" w:rsidR="008533DC" w:rsidRDefault="006774A7">
      <w:pPr>
        <w:pStyle w:val="Titre1"/>
        <w:numPr>
          <w:ilvl w:val="0"/>
          <w:numId w:val="10"/>
        </w:numPr>
        <w:rPr>
          <w:rFonts w:asciiTheme="minorHAnsi" w:eastAsia="Times New Roman" w:hAnsiTheme="minorHAnsi" w:cstheme="minorHAnsi"/>
          <w:b/>
          <w:color w:val="auto"/>
          <w:sz w:val="22"/>
          <w:szCs w:val="22"/>
          <w:lang w:val="en-GB"/>
        </w:rPr>
      </w:pPr>
      <w:bookmarkStart w:id="4" w:name="_Toc189747846"/>
      <w:r>
        <w:rPr>
          <w:rFonts w:asciiTheme="minorHAnsi" w:eastAsia="Times New Roman" w:hAnsiTheme="minorHAnsi" w:cstheme="minorHAnsi"/>
          <w:b/>
          <w:color w:val="auto"/>
          <w:sz w:val="22"/>
          <w:szCs w:val="22"/>
          <w:lang w:val="en-GB"/>
        </w:rPr>
        <w:lastRenderedPageBreak/>
        <w:t>Background of the action</w:t>
      </w:r>
      <w:bookmarkEnd w:id="4"/>
    </w:p>
    <w:p w14:paraId="187B4EED" w14:textId="77777777" w:rsidR="008533DC" w:rsidRDefault="008533DC">
      <w:pPr>
        <w:rPr>
          <w:lang w:val="en-GB"/>
        </w:rPr>
      </w:pPr>
    </w:p>
    <w:p w14:paraId="4D8F8B40"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Guyana is considered as a High Forest Low Deforestation country, with 85% of its territory covered by tropical forest, home to numerous natural resources mostly exploited and threatened by human activities. For instance, mining activity alone contributes to 84% of the deforestation</w:t>
      </w:r>
      <w:r>
        <w:rPr>
          <w:rFonts w:asciiTheme="minorHAnsi" w:hAnsiTheme="minorHAnsi" w:cstheme="minorHAnsi"/>
          <w:sz w:val="22"/>
          <w:szCs w:val="22"/>
          <w:vertAlign w:val="superscript"/>
          <w:lang w:val="en-GB"/>
        </w:rPr>
        <w:footnoteReference w:id="1"/>
      </w:r>
      <w:r>
        <w:rPr>
          <w:rFonts w:asciiTheme="minorHAnsi" w:hAnsiTheme="minorHAnsi" w:cstheme="minorHAnsi"/>
          <w:sz w:val="22"/>
          <w:szCs w:val="22"/>
          <w:lang w:val="en-GB"/>
        </w:rPr>
        <w:t>. It has been reported that over the period 2009-2018, the deforestation rate was multiplied by 7 in Guyana which is a direct consequence of the rise of the price of gold on the international market</w:t>
      </w:r>
      <w:r>
        <w:rPr>
          <w:rFonts w:asciiTheme="minorHAnsi" w:hAnsiTheme="minorHAnsi" w:cstheme="minorHAnsi"/>
          <w:sz w:val="22"/>
          <w:szCs w:val="22"/>
          <w:vertAlign w:val="superscript"/>
          <w:lang w:val="en-GB"/>
        </w:rPr>
        <w:footnoteReference w:id="2"/>
      </w:r>
      <w:r>
        <w:rPr>
          <w:rFonts w:asciiTheme="minorHAnsi" w:hAnsiTheme="minorHAnsi" w:cstheme="minorHAnsi"/>
          <w:sz w:val="22"/>
          <w:szCs w:val="22"/>
          <w:lang w:val="en-GB"/>
        </w:rPr>
        <w:t>. Nonetheless, while gold and bauxite mining accounted for 11% of Guyana’s GDP in 2019, this percentage decreased to 3.3% in 2022, mainly due to the development of the oil and gas industry contributing to 56.8% of the total GDP</w:t>
      </w:r>
      <w:r>
        <w:rPr>
          <w:rFonts w:asciiTheme="minorHAnsi" w:hAnsiTheme="minorHAnsi" w:cstheme="minorHAnsi"/>
          <w:sz w:val="22"/>
          <w:szCs w:val="22"/>
          <w:vertAlign w:val="superscript"/>
          <w:lang w:val="en-GB"/>
        </w:rPr>
        <w:footnoteReference w:id="3"/>
      </w:r>
      <w:r>
        <w:rPr>
          <w:rFonts w:asciiTheme="minorHAnsi" w:hAnsiTheme="minorHAnsi" w:cstheme="minorHAnsi"/>
          <w:sz w:val="22"/>
          <w:szCs w:val="22"/>
          <w:lang w:val="en-GB"/>
        </w:rPr>
        <w:t>.</w:t>
      </w:r>
    </w:p>
    <w:p w14:paraId="16DDF616" w14:textId="77777777" w:rsidR="008533DC" w:rsidRDefault="008533DC">
      <w:pPr>
        <w:jc w:val="both"/>
        <w:rPr>
          <w:rFonts w:asciiTheme="minorHAnsi" w:hAnsiTheme="minorHAnsi" w:cstheme="minorHAnsi"/>
          <w:sz w:val="22"/>
          <w:szCs w:val="22"/>
          <w:lang w:val="en-GB"/>
        </w:rPr>
      </w:pPr>
    </w:p>
    <w:p w14:paraId="5C3669AE"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The contamination generated by the exploitation of the mines continues long after the closing of the mines. According to the code of practice of the Guyana Geology and Mines Commission (GGMC), holders of mining license and permit have the duty to reclaim and restore the mined-out areas</w:t>
      </w:r>
      <w:r>
        <w:rPr>
          <w:rFonts w:asciiTheme="minorHAnsi" w:hAnsiTheme="minorHAnsi" w:cstheme="minorHAnsi"/>
          <w:sz w:val="22"/>
          <w:szCs w:val="22"/>
          <w:vertAlign w:val="superscript"/>
          <w:lang w:val="en-GB"/>
        </w:rPr>
        <w:footnoteReference w:id="4"/>
      </w:r>
      <w:r>
        <w:rPr>
          <w:rFonts w:asciiTheme="minorHAnsi" w:hAnsiTheme="minorHAnsi" w:cstheme="minorHAnsi"/>
          <w:sz w:val="22"/>
          <w:szCs w:val="22"/>
          <w:lang w:val="en-GB"/>
        </w:rPr>
        <w:t xml:space="preserve"> and leave that area in a safe and stable condition. Mine reclamation aims to eliminate/remove unacceptable health hazards, ensuring public safety, limiting the production and circulation of substances that could damage the receiving environment and restore the site to a condition in which it is acceptable to the community.  Mined lands should be restored to an acceptable alternate use when pre-mining conditions may not be the most desirable post-reclamation land use. One of the six principles states that the reclamation process must ensure physical and chemical stability of the site. The Code of Practice presents a list of control technologies to face physical and chemical stability issues.</w:t>
      </w:r>
    </w:p>
    <w:p w14:paraId="2E812130" w14:textId="77777777" w:rsidR="008533DC" w:rsidRDefault="008533DC">
      <w:pPr>
        <w:jc w:val="both"/>
        <w:rPr>
          <w:rFonts w:asciiTheme="minorHAnsi" w:hAnsiTheme="minorHAnsi" w:cstheme="minorHAnsi"/>
          <w:sz w:val="22"/>
          <w:szCs w:val="22"/>
          <w:lang w:val="en-GB"/>
        </w:rPr>
      </w:pPr>
    </w:p>
    <w:p w14:paraId="2AE2F446"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In this context, the Low Carbon Development Strategy 2030 of Guyana has the ambition to restore and reforest 200,000 ha of degraded land across the country</w:t>
      </w:r>
      <w:r>
        <w:rPr>
          <w:rFonts w:asciiTheme="minorHAnsi" w:hAnsiTheme="minorHAnsi" w:cstheme="minorHAnsi"/>
          <w:sz w:val="22"/>
          <w:szCs w:val="22"/>
          <w:vertAlign w:val="superscript"/>
          <w:lang w:val="en-GB"/>
        </w:rPr>
        <w:footnoteReference w:id="5"/>
      </w:r>
      <w:r>
        <w:rPr>
          <w:rFonts w:asciiTheme="minorHAnsi" w:hAnsiTheme="minorHAnsi" w:cstheme="minorHAnsi"/>
          <w:sz w:val="22"/>
          <w:szCs w:val="22"/>
          <w:lang w:val="en-GB"/>
        </w:rPr>
        <w:t>. The National Forest Restoration Initiative, undertaken by the Ministry of Natural Resources (MNR) and launched at the beginning of 2023, has the objective to contribute to this target.</w:t>
      </w:r>
    </w:p>
    <w:p w14:paraId="5FC1DFFE" w14:textId="77777777" w:rsidR="008533DC" w:rsidRDefault="008533DC">
      <w:pPr>
        <w:jc w:val="both"/>
        <w:rPr>
          <w:rFonts w:asciiTheme="minorHAnsi" w:hAnsiTheme="minorHAnsi" w:cstheme="minorHAnsi"/>
          <w:sz w:val="22"/>
          <w:szCs w:val="22"/>
          <w:lang w:val="en-GB"/>
        </w:rPr>
      </w:pPr>
    </w:p>
    <w:p w14:paraId="2BBB06D0" w14:textId="77777777" w:rsidR="008533DC" w:rsidRDefault="006774A7">
      <w:pPr>
        <w:jc w:val="both"/>
        <w:rPr>
          <w:rFonts w:ascii="Calibri" w:eastAsia="Arial" w:hAnsi="Calibri" w:cs="Calibri"/>
          <w:sz w:val="22"/>
          <w:szCs w:val="22"/>
          <w:lang w:val="en-GB"/>
        </w:rPr>
      </w:pPr>
      <w:r>
        <w:rPr>
          <w:rFonts w:ascii="Calibri" w:eastAsia="Arial" w:hAnsi="Calibri" w:cs="Calibri"/>
          <w:sz w:val="22"/>
          <w:szCs w:val="22"/>
          <w:lang w:val="en-GB"/>
        </w:rPr>
        <w:t>The Ministry of Natural Resources (MNR) and the Guyana Forestry Commission (GFC) are lead agencies for the forestry sector. The MNR oversees policies for responsible exploration, development and utilization of natural resources whilst ensuring the protection and conservation of the environment and advancement of the green economy. Key mitigation and adaptation sectors under its oversight include forestry and the extractive industries including mining and oil and gas.</w:t>
      </w:r>
    </w:p>
    <w:p w14:paraId="410136D9" w14:textId="77777777" w:rsidR="008533DC" w:rsidRDefault="006774A7">
      <w:pPr>
        <w:jc w:val="both"/>
        <w:rPr>
          <w:rFonts w:ascii="Calibri" w:hAnsi="Calibri" w:cs="Calibri"/>
          <w:sz w:val="22"/>
          <w:szCs w:val="22"/>
          <w:lang w:val="en-GB"/>
        </w:rPr>
      </w:pPr>
      <w:r>
        <w:rPr>
          <w:rFonts w:ascii="Calibri" w:hAnsi="Calibri" w:cs="Calibri"/>
          <w:sz w:val="22"/>
          <w:szCs w:val="22"/>
          <w:lang w:val="en-GB"/>
        </w:rPr>
        <w:t xml:space="preserve">The Guyana Forest Commission (GFC) is the state authority for forests in Guyana, and is responsible for forest allocation, management and monitoring. </w:t>
      </w:r>
      <w:r>
        <w:rPr>
          <w:rFonts w:ascii="Calibri" w:eastAsia="Arial" w:hAnsi="Calibri" w:cs="Calibri"/>
          <w:sz w:val="22"/>
          <w:szCs w:val="22"/>
          <w:lang w:val="en-GB"/>
        </w:rPr>
        <w:t xml:space="preserve">The GFC develops and monitors standards for forest sector operations, develops and implements forest protection and conservation strategies, oversees forest research, and provides support and guidance on forest education and training. </w:t>
      </w:r>
      <w:r>
        <w:rPr>
          <w:rFonts w:ascii="Calibri" w:hAnsi="Calibri" w:cs="Calibri"/>
          <w:sz w:val="22"/>
          <w:szCs w:val="22"/>
          <w:lang w:val="en-GB"/>
        </w:rPr>
        <w:t xml:space="preserve">The GFC’s mandate is guided by the Forests Act 2009, the Forest Regulations 2018 and the revised National Forest Plan and Policy Statement 2018. This mandate includes the management of Guyana’s state forests in a way that maximises economic potential through dynamic and strategic use of forest resources, not limited to timber harvesting and wood production, to facilitate and support forestry-based livelihoods. </w:t>
      </w:r>
      <w:r>
        <w:rPr>
          <w:rFonts w:ascii="Calibri" w:eastAsia="Arial" w:hAnsi="Calibri" w:cs="Calibri"/>
          <w:sz w:val="22"/>
          <w:szCs w:val="22"/>
          <w:lang w:val="en-GB"/>
        </w:rPr>
        <w:t>GFC plays a critical role in biodiversity conservation as forest biodiversity encompasses much of the country's overall biodiversity.</w:t>
      </w:r>
    </w:p>
    <w:p w14:paraId="66A20224" w14:textId="77777777" w:rsidR="008533DC" w:rsidRDefault="006774A7">
      <w:pPr>
        <w:jc w:val="both"/>
        <w:rPr>
          <w:rFonts w:ascii="Calibri" w:hAnsi="Calibri" w:cs="Calibri"/>
          <w:sz w:val="22"/>
          <w:szCs w:val="22"/>
          <w:lang w:val="en-GB"/>
        </w:rPr>
      </w:pPr>
      <w:r>
        <w:rPr>
          <w:rFonts w:ascii="Calibri" w:hAnsi="Calibri" w:cs="Calibri"/>
          <w:sz w:val="22"/>
          <w:szCs w:val="22"/>
          <w:lang w:val="en-GB"/>
        </w:rPr>
        <w:t xml:space="preserve">State forests do not include forest on titled lands belonging to indigenous people and local communities (IPLC) or other private landowners. However, GFC works with IPLCs in providing technical </w:t>
      </w:r>
      <w:r>
        <w:rPr>
          <w:rFonts w:ascii="Calibri" w:hAnsi="Calibri" w:cs="Calibri"/>
          <w:sz w:val="22"/>
          <w:szCs w:val="22"/>
          <w:lang w:val="en-GB"/>
        </w:rPr>
        <w:lastRenderedPageBreak/>
        <w:t>support, sharing knowledge of sustainable forest practices from academic and technocratic background considering traditional knowledge and use of forests.</w:t>
      </w:r>
      <w:r>
        <w:rPr>
          <w:rStyle w:val="Appelnotedebasdep"/>
          <w:rFonts w:ascii="Calibri" w:hAnsi="Calibri" w:cs="Calibri"/>
          <w:sz w:val="22"/>
          <w:szCs w:val="22"/>
          <w:lang w:val="en-GB"/>
        </w:rPr>
        <w:footnoteReference w:id="6"/>
      </w:r>
    </w:p>
    <w:p w14:paraId="7038FAB6" w14:textId="77777777" w:rsidR="008533DC" w:rsidRDefault="006774A7">
      <w:pPr>
        <w:jc w:val="both"/>
        <w:rPr>
          <w:rFonts w:ascii="Calibri" w:hAnsi="Calibri" w:cs="Calibri"/>
          <w:sz w:val="22"/>
          <w:szCs w:val="22"/>
          <w:lang w:val="en-GB"/>
        </w:rPr>
      </w:pPr>
      <w:r>
        <w:rPr>
          <w:rFonts w:ascii="Calibri" w:hAnsi="Calibri" w:cs="Calibri"/>
          <w:sz w:val="22"/>
          <w:szCs w:val="22"/>
          <w:lang w:val="en-GB"/>
        </w:rPr>
        <w:t>GFC will act as Lead Implementing Agency.</w:t>
      </w:r>
    </w:p>
    <w:p w14:paraId="54F71DF0" w14:textId="77777777" w:rsidR="008533DC" w:rsidRDefault="008533DC">
      <w:pPr>
        <w:jc w:val="both"/>
        <w:rPr>
          <w:rFonts w:asciiTheme="minorHAnsi" w:hAnsiTheme="minorHAnsi" w:cstheme="minorHAnsi"/>
          <w:sz w:val="22"/>
          <w:szCs w:val="22"/>
          <w:lang w:val="en-GB"/>
        </w:rPr>
      </w:pPr>
    </w:p>
    <w:p w14:paraId="274469EA" w14:textId="77777777" w:rsidR="008533DC" w:rsidRDefault="006774A7">
      <w:pPr>
        <w:jc w:val="both"/>
        <w:rPr>
          <w:rFonts w:asciiTheme="minorHAnsi" w:hAnsiTheme="minorHAnsi" w:cstheme="minorHAnsi"/>
          <w:sz w:val="22"/>
          <w:szCs w:val="22"/>
          <w:lang w:val="en-US"/>
        </w:rPr>
      </w:pPr>
      <w:r>
        <w:rPr>
          <w:rFonts w:asciiTheme="minorHAnsi" w:hAnsiTheme="minorHAnsi" w:cstheme="minorHAnsi"/>
          <w:sz w:val="22"/>
          <w:szCs w:val="22"/>
          <w:lang w:val="en-GB"/>
        </w:rPr>
        <w:t>The action implemented under the Euroclima programme seeks to learn from the experiences of post-mining soil restoration in the Central American region. This expertise should make it possible to identify the points of attention, the conditions for the success of the soil restoration operation, and to analyse the use of bamboo or other most suitable species in a relevant way</w:t>
      </w:r>
      <w:r>
        <w:rPr>
          <w:rFonts w:asciiTheme="minorHAnsi" w:hAnsiTheme="minorHAnsi" w:cstheme="minorHAnsi"/>
          <w:sz w:val="22"/>
          <w:szCs w:val="22"/>
          <w:lang w:val="en-US"/>
        </w:rPr>
        <w:t>.</w:t>
      </w:r>
    </w:p>
    <w:p w14:paraId="069FF4CD" w14:textId="77777777" w:rsidR="008533DC" w:rsidRDefault="008533DC">
      <w:pPr>
        <w:jc w:val="both"/>
        <w:rPr>
          <w:rFonts w:asciiTheme="minorHAnsi" w:hAnsiTheme="minorHAnsi" w:cstheme="minorHAnsi"/>
          <w:sz w:val="22"/>
          <w:szCs w:val="22"/>
          <w:lang w:val="en-US"/>
        </w:rPr>
      </w:pPr>
    </w:p>
    <w:p w14:paraId="417F1831" w14:textId="77777777" w:rsidR="008533DC" w:rsidRDefault="006774A7">
      <w:pPr>
        <w:jc w:val="both"/>
        <w:rPr>
          <w:rFonts w:asciiTheme="minorHAnsi" w:hAnsiTheme="minorHAnsi" w:cstheme="minorHAnsi"/>
          <w:sz w:val="22"/>
          <w:szCs w:val="22"/>
        </w:rPr>
      </w:pPr>
      <w:r>
        <w:rPr>
          <w:rFonts w:asciiTheme="minorHAnsi" w:hAnsiTheme="minorHAnsi" w:cstheme="minorHAnsi"/>
          <w:sz w:val="22"/>
          <w:szCs w:val="22"/>
        </w:rPr>
        <w:t>As part of this operation to restore the mining sites, INBAR (International Bamboo and Rattan Organization) has been mobilized to provide technical assistance that focuses on:</w:t>
      </w:r>
    </w:p>
    <w:p w14:paraId="43CFE0B9" w14:textId="77777777" w:rsidR="008533DC" w:rsidRDefault="006774A7">
      <w:pPr>
        <w:pStyle w:val="Paragraphedeliste"/>
        <w:numPr>
          <w:ilvl w:val="0"/>
          <w:numId w:val="45"/>
        </w:numPr>
        <w:spacing w:after="160" w:line="256" w:lineRule="auto"/>
        <w:jc w:val="both"/>
        <w:rPr>
          <w:rFonts w:asciiTheme="minorHAnsi" w:hAnsiTheme="minorHAnsi"/>
          <w:sz w:val="22"/>
          <w:szCs w:val="22"/>
          <w:lang w:val="en-GB" w:eastAsia="en-US"/>
        </w:rPr>
      </w:pPr>
      <w:r>
        <w:rPr>
          <w:rFonts w:asciiTheme="minorHAnsi" w:hAnsiTheme="minorHAnsi"/>
          <w:sz w:val="22"/>
          <w:szCs w:val="22"/>
          <w:lang w:val="en-GB" w:eastAsia="en-US"/>
        </w:rPr>
        <w:t>Develop an inventory of bamboo species, present in the country, more particularly in the project intervention region.</w:t>
      </w:r>
    </w:p>
    <w:p w14:paraId="18ECF9A4" w14:textId="77777777" w:rsidR="008533DC" w:rsidRDefault="006774A7">
      <w:pPr>
        <w:pStyle w:val="Paragraphedeliste"/>
        <w:numPr>
          <w:ilvl w:val="0"/>
          <w:numId w:val="45"/>
        </w:numPr>
        <w:spacing w:after="160" w:line="256" w:lineRule="auto"/>
        <w:jc w:val="both"/>
        <w:rPr>
          <w:rFonts w:asciiTheme="minorHAnsi" w:hAnsiTheme="minorHAnsi"/>
          <w:sz w:val="22"/>
          <w:szCs w:val="22"/>
          <w:lang w:val="en-US" w:eastAsia="en-US"/>
        </w:rPr>
      </w:pPr>
      <w:r>
        <w:rPr>
          <w:rFonts w:asciiTheme="minorHAnsi" w:hAnsiTheme="minorHAnsi"/>
          <w:sz w:val="22"/>
          <w:szCs w:val="22"/>
          <w:lang w:val="en-GB" w:eastAsia="en-US"/>
        </w:rPr>
        <w:t>Conduct Production-Consumption study of bamboo including recommendation for value chain development</w:t>
      </w:r>
      <w:r>
        <w:rPr>
          <w:rFonts w:asciiTheme="minorHAnsi" w:hAnsiTheme="minorHAnsi"/>
          <w:sz w:val="22"/>
          <w:szCs w:val="22"/>
          <w:lang w:val="en-US" w:eastAsia="en-US"/>
        </w:rPr>
        <w:t xml:space="preserve"> (at national level).</w:t>
      </w:r>
    </w:p>
    <w:p w14:paraId="5631D9A6" w14:textId="77777777" w:rsidR="008533DC" w:rsidRDefault="006774A7">
      <w:pPr>
        <w:pStyle w:val="Paragraphedeliste"/>
        <w:numPr>
          <w:ilvl w:val="0"/>
          <w:numId w:val="45"/>
        </w:numPr>
        <w:spacing w:after="160" w:line="256" w:lineRule="auto"/>
        <w:jc w:val="both"/>
        <w:rPr>
          <w:rFonts w:asciiTheme="minorHAnsi" w:hAnsiTheme="minorHAnsi"/>
          <w:sz w:val="22"/>
          <w:szCs w:val="22"/>
          <w:lang w:val="en-GB" w:eastAsia="en-US"/>
        </w:rPr>
      </w:pPr>
      <w:r>
        <w:rPr>
          <w:rFonts w:asciiTheme="minorHAnsi" w:hAnsiTheme="minorHAnsi"/>
          <w:sz w:val="22"/>
          <w:szCs w:val="22"/>
          <w:lang w:val="en-US" w:eastAsia="en-US"/>
        </w:rPr>
        <w:t>To conduct a</w:t>
      </w:r>
      <w:r>
        <w:rPr>
          <w:rFonts w:asciiTheme="minorHAnsi" w:hAnsiTheme="minorHAnsi"/>
          <w:sz w:val="22"/>
          <w:szCs w:val="22"/>
          <w:lang w:val="en-GB" w:eastAsia="en-US"/>
        </w:rPr>
        <w:t>n Environmental and Social Impact Assessment in the project intervention region.</w:t>
      </w:r>
    </w:p>
    <w:p w14:paraId="5177A3AC" w14:textId="77777777" w:rsidR="008533DC" w:rsidRDefault="006774A7">
      <w:pPr>
        <w:pStyle w:val="Paragraphedeliste"/>
        <w:numPr>
          <w:ilvl w:val="0"/>
          <w:numId w:val="45"/>
        </w:numPr>
        <w:spacing w:after="160" w:line="256" w:lineRule="auto"/>
        <w:jc w:val="both"/>
        <w:rPr>
          <w:rFonts w:asciiTheme="minorHAnsi" w:hAnsiTheme="minorHAnsi" w:cstheme="minorHAnsi"/>
          <w:sz w:val="22"/>
          <w:szCs w:val="22"/>
          <w:lang w:val="en-GB"/>
        </w:rPr>
      </w:pPr>
      <w:r>
        <w:rPr>
          <w:rFonts w:asciiTheme="minorHAnsi" w:hAnsiTheme="minorHAnsi"/>
          <w:sz w:val="22"/>
          <w:szCs w:val="22"/>
          <w:lang w:val="en-GB" w:eastAsia="en-US"/>
        </w:rPr>
        <w:t>To design and to implement a pilot site to test the behaviour of bamboo on mined-out areas.</w:t>
      </w:r>
    </w:p>
    <w:p w14:paraId="75CEECAD" w14:textId="77777777" w:rsidR="008533DC" w:rsidRDefault="006774A7">
      <w:pPr>
        <w:pStyle w:val="Paragraphedeliste"/>
        <w:numPr>
          <w:ilvl w:val="0"/>
          <w:numId w:val="45"/>
        </w:numPr>
        <w:rPr>
          <w:rFonts w:asciiTheme="minorHAnsi" w:hAnsiTheme="minorHAnsi" w:cstheme="minorHAnsi"/>
          <w:sz w:val="22"/>
          <w:szCs w:val="22"/>
          <w:lang w:val="en-GB"/>
        </w:rPr>
      </w:pPr>
      <w:r>
        <w:rPr>
          <w:rFonts w:asciiTheme="minorHAnsi" w:hAnsiTheme="minorHAnsi" w:cstheme="minorHAnsi"/>
          <w:sz w:val="22"/>
          <w:szCs w:val="22"/>
          <w:lang w:val="en-GB"/>
        </w:rPr>
        <w:t xml:space="preserve">Capacity building / training on bamboo restoration. </w:t>
      </w:r>
    </w:p>
    <w:p w14:paraId="1E5A97F8" w14:textId="77777777" w:rsidR="008533DC" w:rsidRDefault="006774A7">
      <w:pPr>
        <w:pStyle w:val="Paragraphedeliste"/>
        <w:numPr>
          <w:ilvl w:val="0"/>
          <w:numId w:val="45"/>
        </w:numPr>
        <w:rPr>
          <w:rFonts w:asciiTheme="minorHAnsi" w:hAnsiTheme="minorHAnsi" w:cstheme="minorHAnsi"/>
          <w:sz w:val="22"/>
          <w:szCs w:val="22"/>
          <w:lang w:val="en-GB"/>
        </w:rPr>
      </w:pPr>
      <w:r>
        <w:rPr>
          <w:rFonts w:asciiTheme="minorHAnsi" w:hAnsiTheme="minorHAnsi" w:cstheme="minorHAnsi"/>
          <w:sz w:val="22"/>
          <w:szCs w:val="22"/>
          <w:lang w:val="en-GB"/>
        </w:rPr>
        <w:t xml:space="preserve">To </w:t>
      </w:r>
      <w:r>
        <w:rPr>
          <w:rFonts w:asciiTheme="minorHAnsi" w:hAnsiTheme="minorHAnsi" w:cstheme="minorHAnsi"/>
          <w:sz w:val="22"/>
          <w:szCs w:val="22"/>
          <w:lang w:val="en-GB" w:eastAsia="en-US"/>
        </w:rPr>
        <w:t>coordinate with the</w:t>
      </w:r>
      <w:r>
        <w:rPr>
          <w:rFonts w:asciiTheme="minorHAnsi" w:hAnsiTheme="minorHAnsi"/>
          <w:sz w:val="22"/>
          <w:szCs w:val="22"/>
          <w:lang w:val="en-GB" w:eastAsia="en-US"/>
        </w:rPr>
        <w:t xml:space="preserve"> stakeholders and other entities </w:t>
      </w:r>
      <w:r>
        <w:rPr>
          <w:rFonts w:asciiTheme="minorHAnsi" w:hAnsiTheme="minorHAnsi"/>
          <w:sz w:val="22"/>
          <w:szCs w:val="22"/>
          <w:lang w:val="en-US" w:eastAsia="en-US"/>
        </w:rPr>
        <w:t>involved in the project</w:t>
      </w:r>
    </w:p>
    <w:p w14:paraId="1484C6F5" w14:textId="77777777" w:rsidR="008533DC" w:rsidRDefault="008533DC">
      <w:pPr>
        <w:jc w:val="both"/>
        <w:rPr>
          <w:rFonts w:asciiTheme="minorHAnsi" w:hAnsiTheme="minorHAnsi" w:cstheme="minorHAnsi"/>
          <w:sz w:val="22"/>
          <w:szCs w:val="22"/>
          <w:lang w:val="en-GB"/>
        </w:rPr>
      </w:pPr>
    </w:p>
    <w:p w14:paraId="44D171E1"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This consulting mission aims to provide specific elements on the experiences and techniques of restoration of degraded soils to the program implemented under the responsibility of INBAR.</w:t>
      </w:r>
    </w:p>
    <w:p w14:paraId="320AAC84" w14:textId="77777777" w:rsidR="008533DC" w:rsidRDefault="008533DC">
      <w:pPr>
        <w:jc w:val="both"/>
        <w:rPr>
          <w:rFonts w:asciiTheme="minorHAnsi" w:hAnsiTheme="minorHAnsi" w:cstheme="minorHAnsi"/>
          <w:sz w:val="22"/>
          <w:szCs w:val="22"/>
          <w:lang w:val="en-GB"/>
        </w:rPr>
      </w:pPr>
    </w:p>
    <w:p w14:paraId="5E890D62"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Guyana Forestry Commission et la </w:t>
      </w:r>
      <w:r>
        <w:rPr>
          <w:rFonts w:ascii="Calibri" w:hAnsi="Calibri" w:cs="Calibri"/>
          <w:sz w:val="22"/>
          <w:szCs w:val="20"/>
          <w:lang w:val="en-GB"/>
        </w:rPr>
        <w:t>Maria Elizabeth-Three Friends Small Loggers and Farmers Association (METF)</w:t>
      </w:r>
      <w:r>
        <w:rPr>
          <w:rFonts w:asciiTheme="minorHAnsi" w:hAnsiTheme="minorHAnsi" w:cstheme="minorHAnsi"/>
          <w:sz w:val="22"/>
          <w:szCs w:val="22"/>
          <w:lang w:val="en-GB"/>
        </w:rPr>
        <w:t xml:space="preserve"> selected the sites on which the pilot operation for the restoration and development of bamboo-based opportunities will be conducted. They are in the 10th region of the country and have the following characteristics:</w:t>
      </w:r>
    </w:p>
    <w:p w14:paraId="4AD342BD"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lang w:val="en-GB"/>
        </w:rPr>
        <w:t>The sites are located adjacent to each other and together form a proposed pilot area for Bamboo restoration using native species.</w:t>
      </w:r>
    </w:p>
    <w:p w14:paraId="25B43A35"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lang w:val="en-GB"/>
        </w:rPr>
        <w:t>The topography, drainage, soil type and condition, and observed species are very similar between sites 1 and 2 where they are both expected to require minimal land preparation and can easily be managed as one (1) pilot area.  Site 3 shares similar baseline soil and drainage conditions with Site 1 and 2 but has more difficult terrain with steeper slopes.</w:t>
      </w:r>
    </w:p>
    <w:p w14:paraId="0E29CC2A"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lang w:val="en-GB"/>
        </w:rPr>
        <w:t>Species composition: the species observed are noted for their presence in natural secondary regeneration stands in mined out areas.</w:t>
      </w:r>
    </w:p>
    <w:p w14:paraId="748A109E"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u w:val="single"/>
          <w:lang w:val="en-GB"/>
        </w:rPr>
        <w:t>Site 1</w:t>
      </w:r>
      <w:r>
        <w:rPr>
          <w:rFonts w:ascii="Calibri" w:hAnsi="Calibri" w:cs="Calibri"/>
          <w:sz w:val="22"/>
          <w:szCs w:val="20"/>
          <w:lang w:val="en-GB"/>
        </w:rPr>
        <w:t xml:space="preserve">: Area size: 4.6 hectares (11.6 acres). </w:t>
      </w:r>
      <w:r>
        <w:rPr>
          <w:rFonts w:ascii="Calibri" w:hAnsi="Calibri" w:cs="Calibri"/>
          <w:sz w:val="22"/>
          <w:szCs w:val="20"/>
          <w:u w:val="single"/>
          <w:lang w:val="en-GB"/>
        </w:rPr>
        <w:t>Topography</w:t>
      </w:r>
      <w:r>
        <w:rPr>
          <w:rFonts w:ascii="Calibri" w:hAnsi="Calibri" w:cs="Calibri"/>
          <w:sz w:val="22"/>
          <w:szCs w:val="20"/>
          <w:lang w:val="en-GB"/>
        </w:rPr>
        <w:t>: flat with a gentle slope, having a sandy loam soil type and very good drainage capabilities. Species observed were Tauroniro (</w:t>
      </w:r>
      <w:r>
        <w:rPr>
          <w:rFonts w:ascii="Calibri" w:hAnsi="Calibri" w:cs="Calibri"/>
          <w:i/>
          <w:iCs/>
          <w:sz w:val="22"/>
          <w:szCs w:val="20"/>
          <w:lang w:val="en-GB"/>
        </w:rPr>
        <w:t>Humiria balsamifera</w:t>
      </w:r>
      <w:r>
        <w:rPr>
          <w:rFonts w:ascii="Calibri" w:hAnsi="Calibri" w:cs="Calibri"/>
          <w:sz w:val="22"/>
          <w:szCs w:val="20"/>
          <w:lang w:val="en-GB"/>
        </w:rPr>
        <w:t>), Muri scrub (</w:t>
      </w:r>
      <w:r>
        <w:rPr>
          <w:rFonts w:ascii="Calibri" w:hAnsi="Calibri" w:cs="Calibri"/>
          <w:i/>
          <w:iCs/>
          <w:sz w:val="22"/>
          <w:szCs w:val="20"/>
          <w:lang w:val="en-GB"/>
        </w:rPr>
        <w:t>Humiria balsamifera var guianensis</w:t>
      </w:r>
      <w:r>
        <w:rPr>
          <w:rFonts w:ascii="Calibri" w:hAnsi="Calibri" w:cs="Calibri"/>
          <w:sz w:val="22"/>
          <w:szCs w:val="20"/>
          <w:lang w:val="en-GB"/>
        </w:rPr>
        <w:t>), Awati (</w:t>
      </w:r>
      <w:r>
        <w:rPr>
          <w:rFonts w:ascii="Calibri" w:hAnsi="Calibri" w:cs="Calibri"/>
          <w:i/>
          <w:iCs/>
          <w:sz w:val="22"/>
          <w:szCs w:val="20"/>
          <w:lang w:val="en-GB"/>
        </w:rPr>
        <w:t>Maprounea guianensis</w:t>
      </w:r>
      <w:r>
        <w:rPr>
          <w:rFonts w:ascii="Calibri" w:hAnsi="Calibri" w:cs="Calibri"/>
          <w:sz w:val="22"/>
          <w:szCs w:val="20"/>
          <w:lang w:val="en-GB"/>
        </w:rPr>
        <w:t>) and Fat Pork (</w:t>
      </w:r>
      <w:r>
        <w:rPr>
          <w:rFonts w:ascii="Calibri" w:hAnsi="Calibri" w:cs="Calibri"/>
          <w:i/>
          <w:iCs/>
          <w:sz w:val="22"/>
          <w:szCs w:val="20"/>
          <w:lang w:val="en-GB"/>
        </w:rPr>
        <w:t>Chrysobalanus icaco</w:t>
      </w:r>
      <w:r>
        <w:rPr>
          <w:rFonts w:ascii="Calibri" w:hAnsi="Calibri" w:cs="Calibri"/>
          <w:sz w:val="22"/>
          <w:szCs w:val="20"/>
          <w:lang w:val="en-GB"/>
        </w:rPr>
        <w:t>) species. This site requires minimal land preparation.</w:t>
      </w:r>
    </w:p>
    <w:p w14:paraId="6FAC616D"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u w:val="single"/>
          <w:lang w:val="en-GB"/>
        </w:rPr>
        <w:t>Site 2</w:t>
      </w:r>
      <w:r>
        <w:rPr>
          <w:rFonts w:ascii="Calibri" w:hAnsi="Calibri" w:cs="Calibri"/>
          <w:sz w:val="22"/>
          <w:szCs w:val="20"/>
          <w:lang w:val="en-GB"/>
        </w:rPr>
        <w:t xml:space="preserve">: Area size: 0.8 hectares (2.1 acres). </w:t>
      </w:r>
      <w:r>
        <w:rPr>
          <w:rFonts w:ascii="Calibri" w:hAnsi="Calibri" w:cs="Calibri"/>
          <w:sz w:val="22"/>
          <w:szCs w:val="20"/>
          <w:u w:val="single"/>
          <w:lang w:val="en-GB"/>
        </w:rPr>
        <w:t>Topography</w:t>
      </w:r>
      <w:r>
        <w:rPr>
          <w:rFonts w:ascii="Calibri" w:hAnsi="Calibri" w:cs="Calibri"/>
          <w:sz w:val="22"/>
          <w:szCs w:val="20"/>
          <w:lang w:val="en-GB"/>
        </w:rPr>
        <w:t>: flat with a gentle slope, having a sandy loam soil type and very good drainage capabilities. Species observed were Tauroniro (</w:t>
      </w:r>
      <w:r>
        <w:rPr>
          <w:rFonts w:ascii="Calibri" w:hAnsi="Calibri" w:cs="Calibri"/>
          <w:i/>
          <w:iCs/>
          <w:sz w:val="22"/>
          <w:szCs w:val="20"/>
          <w:lang w:val="en-GB"/>
        </w:rPr>
        <w:t>Humiria balsamifera</w:t>
      </w:r>
      <w:r>
        <w:rPr>
          <w:rFonts w:ascii="Calibri" w:hAnsi="Calibri" w:cs="Calibri"/>
          <w:sz w:val="22"/>
          <w:szCs w:val="20"/>
          <w:lang w:val="en-GB"/>
        </w:rPr>
        <w:t>), Muri scrub (</w:t>
      </w:r>
      <w:r>
        <w:rPr>
          <w:rFonts w:ascii="Calibri" w:hAnsi="Calibri" w:cs="Calibri"/>
          <w:i/>
          <w:iCs/>
          <w:sz w:val="22"/>
          <w:szCs w:val="20"/>
          <w:lang w:val="en-GB"/>
        </w:rPr>
        <w:t>Humiria balsamifera var guianensis</w:t>
      </w:r>
      <w:r>
        <w:rPr>
          <w:rFonts w:ascii="Calibri" w:hAnsi="Calibri" w:cs="Calibri"/>
          <w:sz w:val="22"/>
          <w:szCs w:val="20"/>
          <w:lang w:val="en-GB"/>
        </w:rPr>
        <w:t>), Awati (</w:t>
      </w:r>
      <w:r>
        <w:rPr>
          <w:rFonts w:ascii="Calibri" w:hAnsi="Calibri" w:cs="Calibri"/>
          <w:i/>
          <w:iCs/>
          <w:sz w:val="22"/>
          <w:szCs w:val="20"/>
          <w:lang w:val="en-GB"/>
        </w:rPr>
        <w:t>Maprounea guianensis</w:t>
      </w:r>
      <w:r>
        <w:rPr>
          <w:rFonts w:ascii="Calibri" w:hAnsi="Calibri" w:cs="Calibri"/>
          <w:sz w:val="22"/>
          <w:szCs w:val="20"/>
          <w:lang w:val="en-GB"/>
        </w:rPr>
        <w:t>) and Fat Pork (</w:t>
      </w:r>
      <w:r>
        <w:rPr>
          <w:rFonts w:ascii="Calibri" w:hAnsi="Calibri" w:cs="Calibri"/>
          <w:i/>
          <w:iCs/>
          <w:sz w:val="22"/>
          <w:szCs w:val="20"/>
          <w:lang w:val="en-GB"/>
        </w:rPr>
        <w:t>Chrysobalanus icaco</w:t>
      </w:r>
      <w:r>
        <w:rPr>
          <w:rFonts w:ascii="Calibri" w:hAnsi="Calibri" w:cs="Calibri"/>
          <w:sz w:val="22"/>
          <w:szCs w:val="20"/>
          <w:lang w:val="en-GB"/>
        </w:rPr>
        <w:t>) species. This site requires minimal land preparation. A flowing creek with water turbidity of 0.02 NTU is located approx. 20 metres west of this site.</w:t>
      </w:r>
    </w:p>
    <w:p w14:paraId="43227F52" w14:textId="77777777" w:rsidR="008533DC" w:rsidRDefault="006774A7">
      <w:pPr>
        <w:pStyle w:val="Paragraphedeliste"/>
        <w:numPr>
          <w:ilvl w:val="0"/>
          <w:numId w:val="42"/>
        </w:numPr>
        <w:jc w:val="both"/>
        <w:rPr>
          <w:rFonts w:asciiTheme="minorHAnsi" w:hAnsiTheme="minorHAnsi" w:cstheme="minorHAnsi"/>
          <w:sz w:val="22"/>
          <w:szCs w:val="22"/>
          <w:lang w:val="en-GB"/>
        </w:rPr>
      </w:pPr>
      <w:r>
        <w:rPr>
          <w:rFonts w:ascii="Calibri" w:hAnsi="Calibri" w:cs="Calibri"/>
          <w:sz w:val="22"/>
          <w:szCs w:val="20"/>
          <w:u w:val="single"/>
          <w:lang w:val="en-GB"/>
        </w:rPr>
        <w:t>Site 3</w:t>
      </w:r>
      <w:r>
        <w:rPr>
          <w:rFonts w:ascii="Calibri" w:hAnsi="Calibri" w:cs="Calibri"/>
          <w:sz w:val="22"/>
          <w:szCs w:val="20"/>
          <w:lang w:val="en-GB"/>
        </w:rPr>
        <w:t xml:space="preserve">: Area size: 4.7 hectares (11.6 acres). </w:t>
      </w:r>
      <w:r>
        <w:rPr>
          <w:rFonts w:ascii="Calibri" w:hAnsi="Calibri" w:cs="Calibri"/>
          <w:sz w:val="22"/>
          <w:szCs w:val="20"/>
          <w:u w:val="single"/>
          <w:lang w:val="en-GB"/>
        </w:rPr>
        <w:t>Topography</w:t>
      </w:r>
      <w:r>
        <w:rPr>
          <w:rFonts w:ascii="Calibri" w:hAnsi="Calibri" w:cs="Calibri"/>
          <w:sz w:val="22"/>
          <w:szCs w:val="20"/>
          <w:lang w:val="en-GB"/>
        </w:rPr>
        <w:t xml:space="preserve">: undulating and sloping terrain (&gt;20%), having a sandy loam soil type and good drainage capabilities. Species observed were Tauroniro </w:t>
      </w:r>
      <w:r>
        <w:rPr>
          <w:rFonts w:ascii="Calibri" w:hAnsi="Calibri" w:cs="Calibri"/>
          <w:sz w:val="22"/>
          <w:szCs w:val="20"/>
          <w:lang w:val="en-GB"/>
        </w:rPr>
        <w:lastRenderedPageBreak/>
        <w:t>(</w:t>
      </w:r>
      <w:r>
        <w:rPr>
          <w:rFonts w:ascii="Calibri" w:hAnsi="Calibri" w:cs="Calibri"/>
          <w:i/>
          <w:iCs/>
          <w:sz w:val="22"/>
          <w:szCs w:val="20"/>
          <w:lang w:val="en-GB"/>
        </w:rPr>
        <w:t>Humiria balsamifera</w:t>
      </w:r>
      <w:r>
        <w:rPr>
          <w:rFonts w:ascii="Calibri" w:hAnsi="Calibri" w:cs="Calibri"/>
          <w:sz w:val="22"/>
          <w:szCs w:val="20"/>
          <w:lang w:val="en-GB"/>
        </w:rPr>
        <w:t>), Awati (</w:t>
      </w:r>
      <w:r>
        <w:rPr>
          <w:rFonts w:ascii="Calibri" w:hAnsi="Calibri" w:cs="Calibri"/>
          <w:i/>
          <w:iCs/>
          <w:sz w:val="22"/>
          <w:szCs w:val="20"/>
          <w:lang w:val="en-GB"/>
        </w:rPr>
        <w:t>Maprounea guianensis</w:t>
      </w:r>
      <w:r>
        <w:rPr>
          <w:rFonts w:ascii="Calibri" w:hAnsi="Calibri" w:cs="Calibri"/>
          <w:sz w:val="22"/>
          <w:szCs w:val="20"/>
          <w:lang w:val="en-GB"/>
        </w:rPr>
        <w:t>), Kamakuti (</w:t>
      </w:r>
      <w:r>
        <w:rPr>
          <w:rFonts w:ascii="Calibri" w:hAnsi="Calibri" w:cs="Calibri"/>
          <w:i/>
          <w:iCs/>
          <w:sz w:val="22"/>
          <w:szCs w:val="20"/>
          <w:lang w:val="en-GB"/>
        </w:rPr>
        <w:t>Bombax globosum</w:t>
      </w:r>
      <w:r>
        <w:rPr>
          <w:rFonts w:ascii="Calibri" w:hAnsi="Calibri" w:cs="Calibri"/>
          <w:sz w:val="22"/>
          <w:szCs w:val="20"/>
          <w:lang w:val="en-GB"/>
        </w:rPr>
        <w:t>) and Bloodwood (</w:t>
      </w:r>
      <w:r>
        <w:rPr>
          <w:rFonts w:ascii="Calibri" w:hAnsi="Calibri" w:cs="Calibri"/>
          <w:i/>
          <w:iCs/>
          <w:sz w:val="22"/>
          <w:szCs w:val="20"/>
          <w:lang w:val="en-GB"/>
        </w:rPr>
        <w:t xml:space="preserve">Vismia </w:t>
      </w:r>
      <w:r>
        <w:rPr>
          <w:rFonts w:ascii="Calibri" w:hAnsi="Calibri" w:cs="Calibri"/>
          <w:sz w:val="22"/>
          <w:szCs w:val="20"/>
          <w:lang w:val="en-GB"/>
        </w:rPr>
        <w:t>spp</w:t>
      </w:r>
      <w:r>
        <w:rPr>
          <w:rFonts w:ascii="Calibri" w:hAnsi="Calibri" w:cs="Calibri"/>
          <w:i/>
          <w:iCs/>
          <w:sz w:val="22"/>
          <w:szCs w:val="20"/>
          <w:lang w:val="en-GB"/>
        </w:rPr>
        <w:t xml:space="preserve"> (V. Latifolia/V. Guianensis/ V. laxiflora</w:t>
      </w:r>
      <w:r>
        <w:rPr>
          <w:rFonts w:ascii="Calibri" w:hAnsi="Calibri" w:cs="Calibri"/>
          <w:sz w:val="22"/>
          <w:szCs w:val="20"/>
          <w:lang w:val="en-GB"/>
        </w:rPr>
        <w:t>). This site will require significant land preparation before it can meet conditions for bamboo restoration.</w:t>
      </w:r>
    </w:p>
    <w:p w14:paraId="1D7B35D9" w14:textId="77777777" w:rsidR="008533DC" w:rsidRDefault="008533DC">
      <w:pPr>
        <w:jc w:val="both"/>
        <w:rPr>
          <w:rFonts w:asciiTheme="minorHAnsi" w:hAnsiTheme="minorHAnsi" w:cstheme="minorHAnsi"/>
          <w:lang w:val="en-GB"/>
        </w:rPr>
      </w:pPr>
    </w:p>
    <w:p w14:paraId="1ACD7D22"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Objectives and desired results</w:t>
      </w:r>
    </w:p>
    <w:p w14:paraId="584636C6" w14:textId="77777777" w:rsidR="008533DC" w:rsidRDefault="008533DC">
      <w:pPr>
        <w:jc w:val="both"/>
        <w:rPr>
          <w:rFonts w:asciiTheme="minorHAnsi" w:hAnsiTheme="minorHAnsi" w:cstheme="minorHAnsi"/>
          <w:sz w:val="22"/>
          <w:szCs w:val="22"/>
        </w:rPr>
      </w:pPr>
    </w:p>
    <w:p w14:paraId="18B03754"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 xml:space="preserve">General objective </w:t>
      </w:r>
    </w:p>
    <w:p w14:paraId="3B474C7C" w14:textId="77777777" w:rsidR="008533DC" w:rsidRDefault="008533DC">
      <w:pPr>
        <w:jc w:val="both"/>
        <w:rPr>
          <w:rFonts w:asciiTheme="minorHAnsi" w:hAnsiTheme="minorHAnsi" w:cstheme="minorHAnsi"/>
          <w:sz w:val="22"/>
          <w:szCs w:val="22"/>
        </w:rPr>
      </w:pPr>
    </w:p>
    <w:p w14:paraId="394E0903" w14:textId="77777777" w:rsidR="008533DC" w:rsidRDefault="006774A7">
      <w:pPr>
        <w:jc w:val="both"/>
        <w:rPr>
          <w:rFonts w:asciiTheme="minorHAnsi" w:hAnsiTheme="minorHAnsi" w:cstheme="minorHAnsi"/>
          <w:sz w:val="22"/>
          <w:szCs w:val="22"/>
          <w:lang w:val="en-US"/>
        </w:rPr>
      </w:pPr>
      <w:r>
        <w:rPr>
          <w:rFonts w:asciiTheme="minorHAnsi" w:hAnsiTheme="minorHAnsi" w:cstheme="minorHAnsi"/>
          <w:sz w:val="22"/>
          <w:szCs w:val="22"/>
          <w:lang w:val="en"/>
        </w:rPr>
        <w:t xml:space="preserve">The objective of the assignment is to provide technical support to the Guyana Forestry Commission (GFC) in restoration of the 3 sites mentioned. </w:t>
      </w:r>
      <w:r>
        <w:rPr>
          <w:rFonts w:asciiTheme="minorHAnsi" w:hAnsiTheme="minorHAnsi" w:cstheme="minorHAnsi"/>
          <w:sz w:val="22"/>
          <w:szCs w:val="22"/>
          <w:lang w:val="en-US"/>
        </w:rPr>
        <w:t>This assignment will be carried out in close coordination with INBAR’s mission</w:t>
      </w:r>
      <w:r>
        <w:rPr>
          <w:rStyle w:val="Appelnotedebasdep"/>
          <w:rFonts w:asciiTheme="minorHAnsi" w:hAnsiTheme="minorHAnsi" w:cstheme="minorHAnsi"/>
          <w:sz w:val="22"/>
          <w:szCs w:val="22"/>
        </w:rPr>
        <w:footnoteReference w:id="7"/>
      </w:r>
      <w:r>
        <w:rPr>
          <w:rFonts w:asciiTheme="minorHAnsi" w:hAnsiTheme="minorHAnsi" w:cstheme="minorHAnsi"/>
          <w:sz w:val="22"/>
          <w:szCs w:val="22"/>
          <w:lang w:val="en-US"/>
        </w:rPr>
        <w:t xml:space="preserve"> .</w:t>
      </w:r>
    </w:p>
    <w:p w14:paraId="01BC9B60" w14:textId="77777777" w:rsidR="008533DC" w:rsidRDefault="008533DC">
      <w:pPr>
        <w:tabs>
          <w:tab w:val="num" w:pos="900"/>
        </w:tabs>
        <w:ind w:left="900" w:hanging="360"/>
        <w:jc w:val="both"/>
        <w:rPr>
          <w:rFonts w:asciiTheme="minorHAnsi" w:hAnsiTheme="minorHAnsi" w:cstheme="minorHAnsi"/>
          <w:sz w:val="22"/>
          <w:szCs w:val="22"/>
          <w:lang w:val="en-US"/>
        </w:rPr>
      </w:pPr>
    </w:p>
    <w:p w14:paraId="3BA158D7"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Specific objectives</w:t>
      </w:r>
    </w:p>
    <w:p w14:paraId="37D9F4F8" w14:textId="77777777" w:rsidR="008533DC" w:rsidRDefault="008533DC">
      <w:pPr>
        <w:jc w:val="both"/>
        <w:rPr>
          <w:rFonts w:asciiTheme="minorHAnsi" w:hAnsiTheme="minorHAnsi" w:cstheme="minorHAnsi"/>
        </w:rPr>
      </w:pPr>
    </w:p>
    <w:p w14:paraId="3F9795CD" w14:textId="77777777" w:rsidR="008533DC" w:rsidRDefault="006774A7">
      <w:pPr>
        <w:pStyle w:val="Paragraphedeliste"/>
        <w:numPr>
          <w:ilvl w:val="0"/>
          <w:numId w:val="41"/>
        </w:numPr>
        <w:jc w:val="both"/>
        <w:rPr>
          <w:rFonts w:asciiTheme="minorHAnsi" w:hAnsiTheme="minorHAnsi" w:cstheme="minorHAnsi"/>
          <w:sz w:val="22"/>
          <w:szCs w:val="22"/>
          <w:lang w:val="en-GB"/>
        </w:rPr>
      </w:pPr>
      <w:r>
        <w:rPr>
          <w:rFonts w:asciiTheme="minorHAnsi" w:hAnsiTheme="minorHAnsi" w:cstheme="minorHAnsi"/>
          <w:sz w:val="22"/>
          <w:szCs w:val="22"/>
          <w:lang w:val="en-GB"/>
        </w:rPr>
        <w:t>To review experiences and good practices in the restoration of degraded soils in the Guyana Shield</w:t>
      </w:r>
    </w:p>
    <w:p w14:paraId="355AACCB" w14:textId="77777777" w:rsidR="008533DC" w:rsidRDefault="006774A7">
      <w:pPr>
        <w:pStyle w:val="Paragraphedeliste"/>
        <w:numPr>
          <w:ilvl w:val="0"/>
          <w:numId w:val="41"/>
        </w:numPr>
        <w:jc w:val="both"/>
        <w:rPr>
          <w:rFonts w:asciiTheme="minorHAnsi" w:hAnsiTheme="minorHAnsi" w:cstheme="minorHAnsi"/>
          <w:sz w:val="22"/>
          <w:szCs w:val="22"/>
          <w:lang w:val="en-GB"/>
        </w:rPr>
      </w:pPr>
      <w:r>
        <w:rPr>
          <w:rFonts w:asciiTheme="minorHAnsi" w:hAnsiTheme="minorHAnsi" w:cstheme="minorHAnsi"/>
          <w:sz w:val="22"/>
          <w:szCs w:val="22"/>
          <w:lang w:val="en-GB"/>
        </w:rPr>
        <w:t>Conduct a soil analysis of GFC-selected sites</w:t>
      </w:r>
    </w:p>
    <w:p w14:paraId="72A3C0FC" w14:textId="77777777" w:rsidR="008533DC" w:rsidRDefault="006774A7">
      <w:pPr>
        <w:pStyle w:val="Paragraphedeliste"/>
        <w:numPr>
          <w:ilvl w:val="0"/>
          <w:numId w:val="41"/>
        </w:numPr>
        <w:jc w:val="both"/>
        <w:rPr>
          <w:rFonts w:asciiTheme="minorHAnsi" w:hAnsiTheme="minorHAnsi" w:cstheme="minorHAnsi"/>
          <w:sz w:val="22"/>
          <w:szCs w:val="22"/>
          <w:lang w:val="en-GB"/>
        </w:rPr>
      </w:pPr>
      <w:r>
        <w:rPr>
          <w:rFonts w:asciiTheme="minorHAnsi" w:hAnsiTheme="minorHAnsi" w:cstheme="minorHAnsi"/>
          <w:sz w:val="22"/>
          <w:szCs w:val="22"/>
          <w:lang w:val="en-GB"/>
        </w:rPr>
        <w:t>Develop recommendations for site restoration</w:t>
      </w:r>
    </w:p>
    <w:p w14:paraId="0F2F6A34" w14:textId="77777777" w:rsidR="008533DC" w:rsidRDefault="008533DC">
      <w:pPr>
        <w:jc w:val="both"/>
        <w:rPr>
          <w:rFonts w:asciiTheme="minorHAnsi" w:hAnsiTheme="minorHAnsi" w:cstheme="minorHAnsi"/>
          <w:sz w:val="22"/>
          <w:szCs w:val="22"/>
          <w:lang w:val="en-GB"/>
        </w:rPr>
      </w:pPr>
    </w:p>
    <w:p w14:paraId="2909FAAC"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Anticipated results</w:t>
      </w:r>
    </w:p>
    <w:p w14:paraId="7EE271A5" w14:textId="77777777" w:rsidR="008533DC" w:rsidRDefault="008533DC">
      <w:pPr>
        <w:jc w:val="both"/>
        <w:rPr>
          <w:rFonts w:asciiTheme="minorHAnsi" w:hAnsiTheme="minorHAnsi" w:cstheme="minorHAnsi"/>
          <w:sz w:val="22"/>
          <w:szCs w:val="22"/>
          <w:lang w:val="en-GB"/>
        </w:rPr>
      </w:pPr>
    </w:p>
    <w:p w14:paraId="502ECCFD"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R1: Diagnosis of each selected site.</w:t>
      </w:r>
    </w:p>
    <w:p w14:paraId="2E7ADE1A"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R2: Zoning of each site and differentiation of the internal zones of each site.</w:t>
      </w:r>
    </w:p>
    <w:p w14:paraId="3AA75D45"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R3: Recovery objectives.</w:t>
      </w:r>
    </w:p>
    <w:p w14:paraId="41B1E108"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R4: Implementation of the experience exchange programme.</w:t>
      </w:r>
    </w:p>
    <w:p w14:paraId="6012B5E3"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R5: Final report with conclusions and operational recommendations.</w:t>
      </w:r>
    </w:p>
    <w:p w14:paraId="48D8B854" w14:textId="77777777" w:rsidR="008533DC" w:rsidRDefault="008533DC">
      <w:pPr>
        <w:jc w:val="both"/>
        <w:rPr>
          <w:rFonts w:asciiTheme="minorHAnsi" w:hAnsiTheme="minorHAnsi" w:cstheme="minorHAnsi"/>
          <w:sz w:val="22"/>
          <w:szCs w:val="22"/>
          <w:lang w:val="en-US"/>
        </w:rPr>
      </w:pPr>
    </w:p>
    <w:p w14:paraId="3D2459D0"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Description of the assignment</w:t>
      </w:r>
    </w:p>
    <w:p w14:paraId="36965E99" w14:textId="77777777" w:rsidR="008533DC" w:rsidRDefault="008533DC">
      <w:pPr>
        <w:jc w:val="both"/>
        <w:rPr>
          <w:rFonts w:asciiTheme="minorHAnsi" w:hAnsiTheme="minorHAnsi" w:cstheme="minorHAnsi"/>
          <w:sz w:val="22"/>
          <w:szCs w:val="22"/>
        </w:rPr>
      </w:pPr>
    </w:p>
    <w:p w14:paraId="41B7EBD9"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Planned activities</w:t>
      </w:r>
    </w:p>
    <w:p w14:paraId="47DFBC9F" w14:textId="77777777" w:rsidR="008533DC" w:rsidRDefault="008533DC">
      <w:pPr>
        <w:tabs>
          <w:tab w:val="num" w:pos="900"/>
        </w:tabs>
        <w:ind w:left="900" w:hanging="360"/>
        <w:jc w:val="both"/>
        <w:rPr>
          <w:rFonts w:asciiTheme="minorHAnsi" w:hAnsiTheme="minorHAnsi" w:cstheme="minorHAnsi"/>
          <w:sz w:val="22"/>
          <w:szCs w:val="22"/>
          <w:lang w:val="en-GB"/>
        </w:rPr>
      </w:pPr>
    </w:p>
    <w:p w14:paraId="6D5402F7" w14:textId="77777777" w:rsidR="008533DC" w:rsidRDefault="008533DC">
      <w:pPr>
        <w:jc w:val="both"/>
        <w:rPr>
          <w:rFonts w:asciiTheme="minorHAnsi" w:hAnsiTheme="minorHAnsi" w:cstheme="minorHAnsi"/>
          <w:i/>
          <w:sz w:val="8"/>
          <w:szCs w:val="8"/>
          <w:lang w:val="en-GB"/>
        </w:rPr>
      </w:pPr>
    </w:p>
    <w:p w14:paraId="4B02AA73" w14:textId="77777777" w:rsidR="008533DC" w:rsidRDefault="006774A7">
      <w:pPr>
        <w:jc w:val="both"/>
        <w:rPr>
          <w:rFonts w:asciiTheme="minorHAnsi" w:hAnsiTheme="minorHAnsi" w:cstheme="minorHAnsi"/>
          <w:i/>
          <w:sz w:val="22"/>
          <w:szCs w:val="22"/>
          <w:lang w:val="en-GB"/>
        </w:rPr>
      </w:pPr>
      <w:r>
        <w:rPr>
          <w:rFonts w:asciiTheme="minorHAnsi" w:hAnsiTheme="minorHAnsi" w:cstheme="minorHAnsi"/>
          <w:sz w:val="22"/>
          <w:szCs w:val="22"/>
          <w:lang w:val="en-GB"/>
        </w:rPr>
        <w:t>The service provider will perform the following activities:</w:t>
      </w:r>
    </w:p>
    <w:p w14:paraId="4051ED32" w14:textId="77777777" w:rsidR="008533DC" w:rsidRDefault="008533DC">
      <w:pPr>
        <w:jc w:val="both"/>
        <w:rPr>
          <w:rFonts w:asciiTheme="minorHAnsi" w:hAnsiTheme="minorHAnsi" w:cstheme="minorHAnsi"/>
          <w:sz w:val="22"/>
          <w:szCs w:val="22"/>
          <w:lang w:val="en-GB"/>
        </w:rPr>
      </w:pPr>
    </w:p>
    <w:p w14:paraId="220574D4" w14:textId="77777777" w:rsidR="008533DC" w:rsidRDefault="006774A7">
      <w:pPr>
        <w:jc w:val="both"/>
        <w:rPr>
          <w:rFonts w:asciiTheme="minorHAnsi" w:hAnsiTheme="minorHAnsi" w:cstheme="minorHAnsi"/>
          <w:sz w:val="22"/>
          <w:szCs w:val="22"/>
          <w:u w:val="single"/>
          <w:lang w:val="en-GB"/>
        </w:rPr>
      </w:pPr>
      <w:r>
        <w:rPr>
          <w:rFonts w:asciiTheme="minorHAnsi" w:hAnsiTheme="minorHAnsi" w:cstheme="minorHAnsi"/>
          <w:sz w:val="22"/>
          <w:szCs w:val="22"/>
          <w:u w:val="single"/>
          <w:lang w:val="en-GB"/>
        </w:rPr>
        <w:t xml:space="preserve">Assignment preparation </w:t>
      </w:r>
    </w:p>
    <w:p w14:paraId="465F9E70" w14:textId="77777777" w:rsidR="008533DC" w:rsidRDefault="006774A7">
      <w:pPr>
        <w:pStyle w:val="Paragraphedeliste"/>
        <w:numPr>
          <w:ilvl w:val="0"/>
          <w:numId w:val="5"/>
        </w:numPr>
        <w:spacing w:after="160" w:line="252" w:lineRule="auto"/>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Kick-off and coordination meetings with GFC, INBAR </w:t>
      </w:r>
      <w:r>
        <w:rPr>
          <w:rFonts w:asciiTheme="minorHAnsi" w:hAnsiTheme="minorHAnsi" w:cstheme="minorHAnsi"/>
          <w:color w:val="000000"/>
          <w:sz w:val="22"/>
          <w:szCs w:val="22"/>
          <w:lang w:val="en-GB" w:eastAsia="es-CO"/>
        </w:rPr>
        <w:t>and Expertise France</w:t>
      </w:r>
      <w:r>
        <w:rPr>
          <w:rFonts w:asciiTheme="minorHAnsi" w:hAnsiTheme="minorHAnsi" w:cstheme="minorHAnsi"/>
          <w:sz w:val="22"/>
          <w:szCs w:val="22"/>
          <w:lang w:val="en-GB"/>
        </w:rPr>
        <w:t>.</w:t>
      </w:r>
    </w:p>
    <w:p w14:paraId="5D4E1C15" w14:textId="77777777" w:rsidR="008533DC" w:rsidRDefault="006774A7">
      <w:pPr>
        <w:pStyle w:val="Paragraphedeliste"/>
        <w:numPr>
          <w:ilvl w:val="0"/>
          <w:numId w:val="5"/>
        </w:numPr>
        <w:spacing w:after="160" w:line="252" w:lineRule="auto"/>
        <w:jc w:val="both"/>
        <w:rPr>
          <w:rFonts w:asciiTheme="minorHAnsi" w:hAnsiTheme="minorHAnsi" w:cstheme="minorHAnsi"/>
          <w:sz w:val="22"/>
          <w:szCs w:val="22"/>
          <w:lang w:val="en-GB"/>
        </w:rPr>
      </w:pPr>
      <w:r>
        <w:rPr>
          <w:rFonts w:asciiTheme="minorHAnsi" w:hAnsiTheme="minorHAnsi" w:cstheme="minorHAnsi"/>
          <w:bCs/>
          <w:sz w:val="22"/>
          <w:szCs w:val="22"/>
          <w:lang w:val="en-GB"/>
        </w:rPr>
        <w:t>Review of the methodology</w:t>
      </w:r>
      <w:r>
        <w:rPr>
          <w:rFonts w:asciiTheme="minorHAnsi" w:hAnsiTheme="minorHAnsi" w:cstheme="minorHAnsi"/>
          <w:sz w:val="22"/>
          <w:szCs w:val="22"/>
          <w:lang w:val="en-GB"/>
        </w:rPr>
        <w:t xml:space="preserve"> proposed in the offer and possible adjustments (contents, schedule, coordination with INBAR etc.).</w:t>
      </w:r>
    </w:p>
    <w:p w14:paraId="189832F7" w14:textId="77777777" w:rsidR="008533DC" w:rsidRDefault="006774A7">
      <w:pPr>
        <w:pStyle w:val="Paragraphedeliste"/>
        <w:numPr>
          <w:ilvl w:val="0"/>
          <w:numId w:val="5"/>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Identifying, compiling, and analysing </w:t>
      </w:r>
      <w:r>
        <w:rPr>
          <w:rFonts w:asciiTheme="minorHAnsi" w:hAnsiTheme="minorHAnsi" w:cstheme="minorHAnsi"/>
          <w:bCs/>
          <w:sz w:val="22"/>
          <w:szCs w:val="22"/>
          <w:lang w:val="en-GB"/>
        </w:rPr>
        <w:t>preliminary documentation</w:t>
      </w:r>
      <w:r>
        <w:rPr>
          <w:rFonts w:asciiTheme="minorHAnsi" w:hAnsiTheme="minorHAnsi" w:cstheme="minorHAnsi"/>
          <w:sz w:val="22"/>
          <w:szCs w:val="22"/>
          <w:lang w:val="en-GB"/>
        </w:rPr>
        <w:t xml:space="preserve">. </w:t>
      </w:r>
    </w:p>
    <w:p w14:paraId="21E7DF56" w14:textId="77777777" w:rsidR="008533DC" w:rsidRDefault="008533DC">
      <w:pPr>
        <w:jc w:val="both"/>
        <w:rPr>
          <w:rFonts w:asciiTheme="minorHAnsi" w:hAnsiTheme="minorHAnsi" w:cstheme="minorHAnsi"/>
          <w:sz w:val="22"/>
          <w:szCs w:val="22"/>
          <w:u w:val="single"/>
          <w:lang w:val="en-GB"/>
        </w:rPr>
      </w:pPr>
    </w:p>
    <w:p w14:paraId="576FA328" w14:textId="77777777" w:rsidR="008533DC" w:rsidRDefault="006774A7">
      <w:pPr>
        <w:spacing w:after="160" w:line="259" w:lineRule="auto"/>
        <w:rPr>
          <w:rFonts w:asciiTheme="minorHAnsi" w:hAnsiTheme="minorHAnsi"/>
          <w:sz w:val="22"/>
          <w:szCs w:val="22"/>
          <w:lang w:val="en-GB" w:eastAsia="en-US"/>
        </w:rPr>
      </w:pPr>
      <w:r>
        <w:rPr>
          <w:rFonts w:asciiTheme="minorHAnsi" w:hAnsiTheme="minorHAnsi"/>
          <w:i/>
          <w:iCs/>
          <w:sz w:val="22"/>
          <w:szCs w:val="22"/>
          <w:u w:val="single"/>
          <w:lang w:val="en-GB" w:eastAsia="en-US"/>
        </w:rPr>
        <w:t>Expected deliverables</w:t>
      </w:r>
      <w:r>
        <w:rPr>
          <w:rFonts w:asciiTheme="minorHAnsi" w:hAnsiTheme="minorHAnsi"/>
          <w:sz w:val="22"/>
          <w:szCs w:val="22"/>
          <w:lang w:val="en-GB" w:eastAsia="en-US"/>
        </w:rPr>
        <w:t>:</w:t>
      </w:r>
    </w:p>
    <w:p w14:paraId="70D32938" w14:textId="77777777" w:rsidR="008533DC" w:rsidRDefault="006774A7">
      <w:pPr>
        <w:jc w:val="both"/>
        <w:rPr>
          <w:rFonts w:asciiTheme="minorHAnsi" w:hAnsiTheme="minorHAnsi" w:cstheme="minorHAnsi"/>
          <w:sz w:val="22"/>
          <w:szCs w:val="22"/>
          <w:lang w:val="en-GB"/>
        </w:rPr>
      </w:pPr>
      <w:r>
        <w:rPr>
          <w:rFonts w:asciiTheme="minorHAnsi" w:hAnsiTheme="minorHAnsi" w:cstheme="minorHAnsi"/>
          <w:sz w:val="22"/>
          <w:szCs w:val="22"/>
          <w:lang w:val="en-GB"/>
        </w:rPr>
        <w:t>D.0: Inception report, including the minutes of the coordination meetings</w:t>
      </w:r>
    </w:p>
    <w:p w14:paraId="6FE13490" w14:textId="77777777" w:rsidR="008533DC" w:rsidRDefault="008533DC">
      <w:pPr>
        <w:jc w:val="both"/>
        <w:rPr>
          <w:rFonts w:asciiTheme="minorHAnsi" w:hAnsiTheme="minorHAnsi" w:cstheme="minorHAnsi"/>
          <w:sz w:val="22"/>
          <w:szCs w:val="22"/>
          <w:lang w:val="en-GB"/>
        </w:rPr>
      </w:pPr>
    </w:p>
    <w:p w14:paraId="2DAA75D2" w14:textId="77777777" w:rsidR="008533DC" w:rsidRDefault="006774A7">
      <w:pPr>
        <w:spacing w:after="160" w:line="259" w:lineRule="auto"/>
        <w:contextualSpacing/>
        <w:rPr>
          <w:rFonts w:asciiTheme="minorHAnsi" w:hAnsiTheme="minorHAnsi"/>
          <w:bCs/>
          <w:sz w:val="22"/>
          <w:szCs w:val="22"/>
          <w:u w:val="single"/>
          <w:lang w:val="en-GB" w:eastAsia="en-US"/>
        </w:rPr>
      </w:pPr>
      <w:r>
        <w:rPr>
          <w:rFonts w:asciiTheme="minorHAnsi" w:hAnsiTheme="minorHAnsi"/>
          <w:bCs/>
          <w:sz w:val="22"/>
          <w:szCs w:val="22"/>
          <w:u w:val="single"/>
          <w:lang w:val="en-GB" w:eastAsia="en-US"/>
        </w:rPr>
        <w:t>Phase I: The diagnosis of the sites</w:t>
      </w:r>
    </w:p>
    <w:p w14:paraId="7F76B65A" w14:textId="77777777" w:rsidR="008533DC" w:rsidRDefault="006774A7">
      <w:pPr>
        <w:pStyle w:val="Paragraphedeliste"/>
        <w:numPr>
          <w:ilvl w:val="0"/>
          <w:numId w:val="34"/>
        </w:numPr>
        <w:spacing w:after="160" w:line="259" w:lineRule="auto"/>
        <w:jc w:val="both"/>
        <w:rPr>
          <w:rFonts w:asciiTheme="minorHAnsi" w:hAnsiTheme="minorHAnsi"/>
          <w:bCs/>
          <w:sz w:val="22"/>
          <w:szCs w:val="22"/>
          <w:lang w:val="en-GB" w:eastAsia="en-US"/>
        </w:rPr>
      </w:pPr>
      <w:r>
        <w:rPr>
          <w:rFonts w:asciiTheme="minorHAnsi" w:hAnsiTheme="minorHAnsi"/>
          <w:bCs/>
          <w:sz w:val="22"/>
          <w:szCs w:val="22"/>
          <w:lang w:val="en-GB" w:eastAsia="en-US"/>
        </w:rPr>
        <w:t xml:space="preserve">The diagnosis will have to draw up an assessment of these sites: environmental study (climate, air quality, soil and materials, hydrology and hydrogeology, vegetation, fauna, uses, stability </w:t>
      </w:r>
      <w:r>
        <w:rPr>
          <w:rFonts w:asciiTheme="minorHAnsi" w:hAnsiTheme="minorHAnsi"/>
          <w:bCs/>
          <w:sz w:val="22"/>
          <w:szCs w:val="22"/>
          <w:lang w:val="en-GB" w:eastAsia="en-US"/>
        </w:rPr>
        <w:lastRenderedPageBreak/>
        <w:t>(physical, chemical, ecological). Soil analysis should focus on structure, acidity, fertility factors, and the presence of heavy metals. The Contractor will detail the scope of the soil analysis.</w:t>
      </w:r>
    </w:p>
    <w:p w14:paraId="083E9C53" w14:textId="77777777" w:rsidR="008533DC" w:rsidRDefault="006774A7">
      <w:pPr>
        <w:pStyle w:val="Paragraphedeliste"/>
        <w:numPr>
          <w:ilvl w:val="0"/>
          <w:numId w:val="34"/>
        </w:numPr>
        <w:spacing w:after="160" w:line="259" w:lineRule="auto"/>
        <w:jc w:val="both"/>
        <w:rPr>
          <w:rFonts w:asciiTheme="minorHAnsi" w:hAnsiTheme="minorHAnsi"/>
          <w:i/>
          <w:iCs/>
          <w:sz w:val="22"/>
          <w:szCs w:val="22"/>
          <w:u w:val="single"/>
          <w:lang w:val="en-GB" w:eastAsia="en-US"/>
        </w:rPr>
      </w:pPr>
      <w:r>
        <w:rPr>
          <w:rFonts w:asciiTheme="minorHAnsi" w:hAnsiTheme="minorHAnsi"/>
          <w:bCs/>
          <w:sz w:val="22"/>
          <w:szCs w:val="22"/>
          <w:lang w:val="en-GB" w:eastAsia="en-US"/>
        </w:rPr>
        <w:t>The diagnosis will also present a 1:25000 scale map of each site.</w:t>
      </w:r>
    </w:p>
    <w:p w14:paraId="64FFD8EB" w14:textId="77777777" w:rsidR="008533DC" w:rsidRDefault="006774A7">
      <w:pPr>
        <w:spacing w:after="160" w:line="259" w:lineRule="auto"/>
        <w:rPr>
          <w:rFonts w:asciiTheme="minorHAnsi" w:hAnsiTheme="minorHAnsi"/>
          <w:sz w:val="22"/>
          <w:szCs w:val="22"/>
          <w:lang w:val="en-GB" w:eastAsia="en-US"/>
        </w:rPr>
      </w:pPr>
      <w:r>
        <w:rPr>
          <w:rFonts w:asciiTheme="minorHAnsi" w:hAnsiTheme="minorHAnsi"/>
          <w:i/>
          <w:iCs/>
          <w:sz w:val="22"/>
          <w:szCs w:val="22"/>
          <w:u w:val="single"/>
          <w:lang w:val="en-GB" w:eastAsia="en-US"/>
        </w:rPr>
        <w:t>Expected deliverables</w:t>
      </w:r>
      <w:r>
        <w:rPr>
          <w:rFonts w:asciiTheme="minorHAnsi" w:hAnsiTheme="minorHAnsi"/>
          <w:sz w:val="22"/>
          <w:szCs w:val="22"/>
          <w:lang w:val="en-GB" w:eastAsia="en-US"/>
        </w:rPr>
        <w:t>:</w:t>
      </w:r>
    </w:p>
    <w:p w14:paraId="46319520"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D.1: Diagnosis of each site with a comprehensive analysis of their characteristics.</w:t>
      </w:r>
    </w:p>
    <w:p w14:paraId="7732B9B9" w14:textId="77777777" w:rsidR="008533DC" w:rsidRDefault="006774A7">
      <w:pPr>
        <w:spacing w:after="160" w:line="259" w:lineRule="auto"/>
        <w:contextualSpacing/>
        <w:rPr>
          <w:rFonts w:asciiTheme="minorHAnsi" w:hAnsiTheme="minorHAnsi"/>
          <w:sz w:val="22"/>
          <w:szCs w:val="22"/>
          <w:lang w:val="en-GB" w:eastAsia="en-US"/>
        </w:rPr>
      </w:pPr>
      <w:r>
        <w:rPr>
          <w:rFonts w:asciiTheme="minorHAnsi" w:hAnsiTheme="minorHAnsi"/>
          <w:bCs/>
          <w:sz w:val="22"/>
          <w:szCs w:val="22"/>
          <w:u w:val="single"/>
          <w:lang w:val="en-GB" w:eastAsia="en-US"/>
        </w:rPr>
        <w:t xml:space="preserve">Phase II: Internal zoning of each site </w:t>
      </w:r>
    </w:p>
    <w:p w14:paraId="700BEAE3" w14:textId="77777777" w:rsidR="008533DC" w:rsidRDefault="006774A7">
      <w:pPr>
        <w:pStyle w:val="Paragraphedeliste"/>
        <w:numPr>
          <w:ilvl w:val="0"/>
          <w:numId w:val="35"/>
        </w:num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 xml:space="preserve">During this phase, it is necessary to assess the possible heterogeneity of each site, respectively 4.7 hectares for site 1 and 3 and less than 1 hectare for the site 2. This zoning will identify the differences between each area and specify the respective potentialities: use of species, capacity of ecosystem restoration, productive capacity, etc. </w:t>
      </w:r>
    </w:p>
    <w:p w14:paraId="143EE9E6" w14:textId="77777777" w:rsidR="008533DC" w:rsidRDefault="006774A7">
      <w:pPr>
        <w:pStyle w:val="Paragraphedeliste"/>
        <w:numPr>
          <w:ilvl w:val="0"/>
          <w:numId w:val="35"/>
        </w:num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Presentation of the results (diagnosis and zoning) to the communities, INBAR, GFC and Expertise France.</w:t>
      </w:r>
    </w:p>
    <w:p w14:paraId="4C9FD187"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i/>
          <w:iCs/>
          <w:sz w:val="22"/>
          <w:szCs w:val="22"/>
          <w:u w:val="single"/>
          <w:lang w:val="en-GB" w:eastAsia="en-US"/>
        </w:rPr>
        <w:t>Expected deliverables</w:t>
      </w:r>
      <w:r>
        <w:rPr>
          <w:rFonts w:asciiTheme="minorHAnsi" w:hAnsiTheme="minorHAnsi"/>
          <w:sz w:val="22"/>
          <w:szCs w:val="22"/>
          <w:lang w:val="en-GB" w:eastAsia="en-US"/>
        </w:rPr>
        <w:t>:</w:t>
      </w:r>
    </w:p>
    <w:p w14:paraId="2A3611FE"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D.2: Report on the differentiated and mapped areas.</w:t>
      </w:r>
    </w:p>
    <w:p w14:paraId="775D10F7"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D.3: The minutes of the presentation of the results.</w:t>
      </w:r>
    </w:p>
    <w:p w14:paraId="4860CFD0" w14:textId="77777777" w:rsidR="008533DC" w:rsidRDefault="006774A7">
      <w:pPr>
        <w:spacing w:after="160" w:line="259" w:lineRule="auto"/>
        <w:contextualSpacing/>
        <w:rPr>
          <w:rFonts w:asciiTheme="minorHAnsi" w:hAnsiTheme="minorHAnsi"/>
          <w:bCs/>
          <w:sz w:val="22"/>
          <w:szCs w:val="22"/>
          <w:u w:val="single"/>
          <w:lang w:val="en-GB" w:eastAsia="en-US"/>
        </w:rPr>
      </w:pPr>
      <w:r>
        <w:rPr>
          <w:rFonts w:asciiTheme="minorHAnsi" w:hAnsiTheme="minorHAnsi"/>
          <w:bCs/>
          <w:sz w:val="22"/>
          <w:szCs w:val="22"/>
          <w:u w:val="single"/>
          <w:lang w:val="en-GB" w:eastAsia="en-US"/>
        </w:rPr>
        <w:t xml:space="preserve">Phase III: </w:t>
      </w:r>
      <w:r>
        <w:rPr>
          <w:rFonts w:asciiTheme="minorHAnsi" w:hAnsiTheme="minorHAnsi" w:cstheme="minorHAnsi"/>
          <w:sz w:val="22"/>
          <w:szCs w:val="22"/>
          <w:u w:val="single"/>
          <w:lang w:val="en-GB"/>
        </w:rPr>
        <w:t>Recovery objectives</w:t>
      </w:r>
    </w:p>
    <w:p w14:paraId="4511309C" w14:textId="77777777" w:rsidR="008533DC" w:rsidRDefault="006774A7">
      <w:pPr>
        <w:numPr>
          <w:ilvl w:val="0"/>
          <w:numId w:val="14"/>
        </w:numPr>
        <w:spacing w:after="160" w:line="259" w:lineRule="auto"/>
        <w:contextualSpacing/>
        <w:jc w:val="both"/>
        <w:rPr>
          <w:rFonts w:asciiTheme="minorHAnsi" w:hAnsiTheme="minorHAnsi"/>
          <w:sz w:val="22"/>
          <w:szCs w:val="22"/>
          <w:lang w:val="en-GB" w:eastAsia="en-US"/>
        </w:rPr>
      </w:pPr>
      <w:r>
        <w:rPr>
          <w:rFonts w:asciiTheme="minorHAnsi" w:hAnsiTheme="minorHAnsi"/>
          <w:sz w:val="22"/>
          <w:szCs w:val="22"/>
          <w:lang w:val="en-GB" w:eastAsia="en-US"/>
        </w:rPr>
        <w:t>Based on the previous diagnosis and zoning, formalize the objectives of the restoration operation. A restoration operation may aim to create the conditions for the recovery of natural vegetation, to recover the state of the initial ecosystem, to allow new occupation and new uses, or to stimulate new socio-economic activities. The Contractor will present all the possible options and define them in a participatory manner to the actors involved in this project.</w:t>
      </w:r>
    </w:p>
    <w:p w14:paraId="3F82A68A" w14:textId="77777777" w:rsidR="008533DC" w:rsidRDefault="006774A7">
      <w:pPr>
        <w:numPr>
          <w:ilvl w:val="0"/>
          <w:numId w:val="14"/>
        </w:numPr>
        <w:spacing w:after="160" w:line="259" w:lineRule="auto"/>
        <w:contextualSpacing/>
        <w:jc w:val="both"/>
        <w:rPr>
          <w:rFonts w:asciiTheme="minorHAnsi" w:hAnsiTheme="minorHAnsi"/>
          <w:sz w:val="22"/>
          <w:szCs w:val="22"/>
          <w:lang w:val="en-GB" w:eastAsia="en-US"/>
        </w:rPr>
      </w:pPr>
      <w:r>
        <w:rPr>
          <w:rFonts w:asciiTheme="minorHAnsi" w:hAnsiTheme="minorHAnsi"/>
          <w:sz w:val="22"/>
          <w:szCs w:val="22"/>
          <w:lang w:val="en-GB" w:eastAsia="en-US"/>
        </w:rPr>
        <w:t>This analysis will feed into INBAR's work, for the installation of applied research plots on the behaviour of bamboo in these conditions and for the installation of bamboo plantations with communities, in general.</w:t>
      </w:r>
    </w:p>
    <w:p w14:paraId="123BDC1E" w14:textId="77777777" w:rsidR="008533DC" w:rsidRDefault="008533DC">
      <w:pPr>
        <w:spacing w:after="160" w:line="259" w:lineRule="auto"/>
        <w:contextualSpacing/>
        <w:jc w:val="both"/>
        <w:rPr>
          <w:rFonts w:asciiTheme="minorHAnsi" w:hAnsiTheme="minorHAnsi"/>
          <w:sz w:val="22"/>
          <w:szCs w:val="22"/>
          <w:lang w:val="en-GB" w:eastAsia="en-US"/>
        </w:rPr>
      </w:pPr>
    </w:p>
    <w:p w14:paraId="1D783887" w14:textId="77777777" w:rsidR="008533DC" w:rsidRDefault="006774A7">
      <w:pPr>
        <w:spacing w:after="160" w:line="259" w:lineRule="auto"/>
        <w:contextualSpacing/>
        <w:jc w:val="both"/>
        <w:rPr>
          <w:rFonts w:asciiTheme="minorHAnsi" w:hAnsiTheme="minorHAnsi"/>
          <w:sz w:val="22"/>
          <w:szCs w:val="22"/>
          <w:lang w:val="en-US" w:eastAsia="en-US"/>
        </w:rPr>
      </w:pPr>
      <w:r>
        <w:rPr>
          <w:rFonts w:asciiTheme="minorHAnsi" w:hAnsiTheme="minorHAnsi"/>
          <w:i/>
          <w:iCs/>
          <w:sz w:val="22"/>
          <w:szCs w:val="22"/>
          <w:u w:val="single"/>
          <w:lang w:val="en-GB" w:eastAsia="en-US"/>
        </w:rPr>
        <w:t>Expected deliverables</w:t>
      </w:r>
      <w:r>
        <w:rPr>
          <w:rFonts w:asciiTheme="minorHAnsi" w:hAnsiTheme="minorHAnsi"/>
          <w:sz w:val="22"/>
          <w:szCs w:val="22"/>
          <w:lang w:val="en-GB" w:eastAsia="en-US"/>
        </w:rPr>
        <w:t>:</w:t>
      </w:r>
    </w:p>
    <w:p w14:paraId="281D4D6A" w14:textId="77777777" w:rsidR="008533DC" w:rsidRDefault="006774A7">
      <w:pPr>
        <w:spacing w:after="160" w:line="259" w:lineRule="auto"/>
        <w:jc w:val="both"/>
        <w:rPr>
          <w:rFonts w:asciiTheme="minorHAnsi" w:hAnsiTheme="minorHAnsi"/>
          <w:sz w:val="22"/>
          <w:szCs w:val="22"/>
          <w:lang w:val="en-US" w:eastAsia="en-US"/>
        </w:rPr>
      </w:pPr>
      <w:r>
        <w:rPr>
          <w:rFonts w:asciiTheme="minorHAnsi" w:hAnsiTheme="minorHAnsi"/>
          <w:sz w:val="22"/>
          <w:szCs w:val="22"/>
          <w:lang w:val="en-US" w:eastAsia="en-US"/>
        </w:rPr>
        <w:t>D.4: A summary of restoration objectives divided into clear categories.</w:t>
      </w:r>
    </w:p>
    <w:p w14:paraId="072FA218" w14:textId="77777777" w:rsidR="008533DC" w:rsidRDefault="006774A7">
      <w:pPr>
        <w:spacing w:after="160" w:line="259" w:lineRule="auto"/>
        <w:jc w:val="both"/>
        <w:rPr>
          <w:rFonts w:asciiTheme="minorHAnsi" w:hAnsiTheme="minorHAnsi"/>
          <w:sz w:val="22"/>
          <w:szCs w:val="22"/>
          <w:lang w:val="en-US" w:eastAsia="en-US"/>
        </w:rPr>
      </w:pPr>
      <w:r>
        <w:rPr>
          <w:rFonts w:asciiTheme="minorHAnsi" w:hAnsiTheme="minorHAnsi"/>
          <w:sz w:val="22"/>
          <w:szCs w:val="22"/>
          <w:lang w:val="en-US" w:eastAsia="en-US"/>
        </w:rPr>
        <w:t>D.5: The minutes of the presentation.</w:t>
      </w:r>
    </w:p>
    <w:p w14:paraId="496A2A3E" w14:textId="77777777" w:rsidR="008533DC" w:rsidRDefault="008533DC">
      <w:pPr>
        <w:spacing w:after="160" w:line="259" w:lineRule="auto"/>
        <w:contextualSpacing/>
        <w:rPr>
          <w:rFonts w:asciiTheme="minorHAnsi" w:hAnsiTheme="minorHAnsi"/>
          <w:b/>
          <w:bCs/>
          <w:sz w:val="22"/>
          <w:szCs w:val="22"/>
          <w:lang w:val="en-GB" w:eastAsia="en-US"/>
        </w:rPr>
      </w:pPr>
    </w:p>
    <w:p w14:paraId="08E356DB" w14:textId="77777777" w:rsidR="008533DC" w:rsidRDefault="006774A7">
      <w:pPr>
        <w:spacing w:after="160" w:line="259" w:lineRule="auto"/>
        <w:contextualSpacing/>
        <w:rPr>
          <w:rFonts w:asciiTheme="minorHAnsi" w:hAnsiTheme="minorHAnsi"/>
          <w:bCs/>
          <w:sz w:val="22"/>
          <w:szCs w:val="22"/>
          <w:u w:val="single"/>
          <w:lang w:val="en-GB" w:eastAsia="en-US"/>
        </w:rPr>
      </w:pPr>
      <w:r>
        <w:rPr>
          <w:rFonts w:asciiTheme="minorHAnsi" w:hAnsiTheme="minorHAnsi"/>
          <w:bCs/>
          <w:sz w:val="22"/>
          <w:szCs w:val="22"/>
          <w:u w:val="single"/>
          <w:lang w:val="en-GB" w:eastAsia="en-US"/>
        </w:rPr>
        <w:t>Phase IV: Experience sharing programme</w:t>
      </w:r>
    </w:p>
    <w:p w14:paraId="1487CA3B"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 xml:space="preserve">The service provider will develop a programme for experience sharing. This may include, but not limited to, a study trip and a delegation trip from Guyana to French Guiana. </w:t>
      </w:r>
    </w:p>
    <w:p w14:paraId="3865F587"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 xml:space="preserve">The Contractor’s proposal will have to include the visit to at least one successful restoration site demonstrating a full initial ecosystem rehabilitation and the return of native species. </w:t>
      </w:r>
    </w:p>
    <w:p w14:paraId="3A890972"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 xml:space="preserve">At least one additional visit will focus on a site that has been redeveloped by the installation of new socio-economic activities. </w:t>
      </w:r>
    </w:p>
    <w:p w14:paraId="363C263E"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The Contractor must include all the costs associated to this study visit in his financial offer.</w:t>
      </w:r>
    </w:p>
    <w:p w14:paraId="3C93EB78" w14:textId="77777777" w:rsidR="008533DC" w:rsidRDefault="006774A7">
      <w:pPr>
        <w:spacing w:after="160" w:line="259" w:lineRule="auto"/>
        <w:jc w:val="both"/>
        <w:rPr>
          <w:rFonts w:asciiTheme="minorHAnsi" w:hAnsiTheme="minorHAnsi"/>
          <w:sz w:val="22"/>
          <w:szCs w:val="22"/>
          <w:lang w:val="en-GB" w:eastAsia="en-US"/>
        </w:rPr>
      </w:pPr>
      <w:r>
        <w:rPr>
          <w:rFonts w:asciiTheme="minorHAnsi" w:hAnsiTheme="minorHAnsi"/>
          <w:sz w:val="22"/>
          <w:szCs w:val="22"/>
          <w:lang w:val="en-GB" w:eastAsia="en-US"/>
        </w:rPr>
        <w:t>Close coordination with INBAR will be ensured throughout this programme as with all project activities.</w:t>
      </w:r>
    </w:p>
    <w:p w14:paraId="11BD375C" w14:textId="77777777" w:rsidR="008533DC" w:rsidRDefault="006774A7">
      <w:pPr>
        <w:spacing w:after="160" w:line="259" w:lineRule="auto"/>
        <w:rPr>
          <w:rFonts w:asciiTheme="minorHAnsi" w:hAnsiTheme="minorHAnsi"/>
          <w:sz w:val="22"/>
          <w:szCs w:val="22"/>
          <w:lang w:val="en-GB" w:eastAsia="en-US"/>
        </w:rPr>
      </w:pPr>
      <w:r>
        <w:rPr>
          <w:rFonts w:asciiTheme="minorHAnsi" w:hAnsiTheme="minorHAnsi"/>
          <w:i/>
          <w:iCs/>
          <w:sz w:val="22"/>
          <w:szCs w:val="22"/>
          <w:u w:val="single"/>
          <w:lang w:val="en-GB" w:eastAsia="en-US"/>
        </w:rPr>
        <w:lastRenderedPageBreak/>
        <w:t>Expected deliverables</w:t>
      </w:r>
      <w:r>
        <w:rPr>
          <w:rFonts w:asciiTheme="minorHAnsi" w:hAnsiTheme="minorHAnsi"/>
          <w:sz w:val="22"/>
          <w:szCs w:val="22"/>
          <w:lang w:val="en-GB" w:eastAsia="en-US"/>
        </w:rPr>
        <w:t>:</w:t>
      </w:r>
    </w:p>
    <w:p w14:paraId="230172F4" w14:textId="77777777" w:rsidR="008533DC" w:rsidRDefault="006774A7">
      <w:pPr>
        <w:spacing w:after="160" w:line="259" w:lineRule="auto"/>
        <w:rPr>
          <w:rFonts w:asciiTheme="minorHAnsi" w:hAnsiTheme="minorHAnsi" w:cstheme="minorHAnsi"/>
          <w:sz w:val="22"/>
          <w:szCs w:val="22"/>
          <w:lang w:val="en-GB" w:eastAsia="en-US"/>
        </w:rPr>
      </w:pPr>
      <w:r>
        <w:rPr>
          <w:rFonts w:asciiTheme="minorHAnsi" w:hAnsiTheme="minorHAnsi"/>
          <w:sz w:val="22"/>
          <w:szCs w:val="22"/>
          <w:lang w:val="en-GB" w:eastAsia="en-US"/>
        </w:rPr>
        <w:t xml:space="preserve">D.6: </w:t>
      </w:r>
      <w:r>
        <w:rPr>
          <w:rFonts w:asciiTheme="minorHAnsi" w:hAnsiTheme="minorHAnsi" w:cstheme="minorHAnsi"/>
          <w:sz w:val="22"/>
          <w:szCs w:val="22"/>
          <w:lang w:val="en-US"/>
        </w:rPr>
        <w:t>A document outlining the details of the experience-sharing programme, including a schedule, an itinerary, and a description of each activity.</w:t>
      </w:r>
    </w:p>
    <w:p w14:paraId="09A3CCC4" w14:textId="77777777" w:rsidR="008533DC" w:rsidRDefault="006774A7">
      <w:pPr>
        <w:spacing w:after="160" w:line="259" w:lineRule="auto"/>
        <w:rPr>
          <w:rFonts w:asciiTheme="minorHAnsi" w:hAnsiTheme="minorHAnsi"/>
          <w:sz w:val="22"/>
          <w:szCs w:val="22"/>
          <w:lang w:val="en-GB" w:eastAsia="en-US"/>
        </w:rPr>
      </w:pPr>
      <w:r>
        <w:rPr>
          <w:rFonts w:asciiTheme="minorHAnsi" w:hAnsiTheme="minorHAnsi"/>
          <w:sz w:val="22"/>
          <w:szCs w:val="22"/>
          <w:lang w:val="en-GB" w:eastAsia="en-US"/>
        </w:rPr>
        <w:t>D.7: Report of the implementation of the experience-sharing programme.</w:t>
      </w:r>
    </w:p>
    <w:p w14:paraId="6BF331AC" w14:textId="77777777" w:rsidR="008533DC" w:rsidRDefault="008533DC">
      <w:pPr>
        <w:spacing w:after="160" w:line="259" w:lineRule="auto"/>
        <w:rPr>
          <w:rFonts w:asciiTheme="minorHAnsi" w:hAnsiTheme="minorHAnsi"/>
          <w:sz w:val="22"/>
          <w:szCs w:val="22"/>
          <w:lang w:val="en-GB" w:eastAsia="en-US"/>
        </w:rPr>
      </w:pPr>
    </w:p>
    <w:p w14:paraId="6BC595B5" w14:textId="77777777" w:rsidR="008533DC" w:rsidRDefault="006774A7">
      <w:pPr>
        <w:spacing w:after="160" w:line="259" w:lineRule="auto"/>
        <w:contextualSpacing/>
        <w:rPr>
          <w:rFonts w:asciiTheme="minorHAnsi" w:hAnsiTheme="minorHAnsi"/>
          <w:bCs/>
          <w:sz w:val="22"/>
          <w:szCs w:val="22"/>
          <w:u w:val="single"/>
          <w:lang w:val="en-US" w:eastAsia="en-US"/>
        </w:rPr>
      </w:pPr>
      <w:r>
        <w:rPr>
          <w:rFonts w:asciiTheme="minorHAnsi" w:hAnsiTheme="minorHAnsi"/>
          <w:bCs/>
          <w:sz w:val="22"/>
          <w:szCs w:val="22"/>
          <w:u w:val="single"/>
          <w:lang w:val="en-US" w:eastAsia="en-US"/>
        </w:rPr>
        <w:t>Phase V: Closing of the mission</w:t>
      </w:r>
    </w:p>
    <w:p w14:paraId="160D3545" w14:textId="77777777" w:rsidR="008533DC" w:rsidRDefault="006774A7">
      <w:pPr>
        <w:pStyle w:val="Paragraphedeliste"/>
        <w:numPr>
          <w:ilvl w:val="0"/>
          <w:numId w:val="39"/>
        </w:numPr>
        <w:spacing w:after="160" w:line="259" w:lineRule="auto"/>
        <w:rPr>
          <w:rFonts w:asciiTheme="minorHAnsi" w:hAnsiTheme="minorHAnsi" w:cstheme="minorHAnsi"/>
          <w:sz w:val="22"/>
          <w:szCs w:val="22"/>
          <w:lang w:val="en-GB"/>
        </w:rPr>
      </w:pPr>
      <w:r>
        <w:rPr>
          <w:rFonts w:asciiTheme="minorHAnsi" w:hAnsiTheme="minorHAnsi" w:cstheme="minorHAnsi"/>
          <w:sz w:val="22"/>
          <w:szCs w:val="22"/>
          <w:lang w:val="en-GB"/>
        </w:rPr>
        <w:t>Final report.</w:t>
      </w:r>
    </w:p>
    <w:p w14:paraId="13C15CEE" w14:textId="77777777" w:rsidR="008533DC" w:rsidRDefault="006774A7">
      <w:pPr>
        <w:pStyle w:val="Paragraphedeliste"/>
        <w:numPr>
          <w:ilvl w:val="0"/>
          <w:numId w:val="39"/>
        </w:numPr>
        <w:spacing w:after="160" w:line="259" w:lineRule="auto"/>
        <w:rPr>
          <w:rFonts w:asciiTheme="minorHAnsi" w:hAnsiTheme="minorHAnsi"/>
          <w:sz w:val="22"/>
          <w:szCs w:val="22"/>
          <w:lang w:val="it-IT" w:eastAsia="en-US"/>
        </w:rPr>
      </w:pPr>
      <w:r>
        <w:rPr>
          <w:rFonts w:asciiTheme="minorHAnsi" w:hAnsiTheme="minorHAnsi" w:cstheme="minorHAnsi"/>
          <w:sz w:val="22"/>
          <w:szCs w:val="22"/>
          <w:lang w:val="en-GB"/>
        </w:rPr>
        <w:t>Conclusions and recommendations.</w:t>
      </w:r>
    </w:p>
    <w:p w14:paraId="7C16C729" w14:textId="77777777" w:rsidR="008533DC" w:rsidRDefault="006774A7">
      <w:pPr>
        <w:pStyle w:val="Paragraphedeliste"/>
        <w:numPr>
          <w:ilvl w:val="0"/>
          <w:numId w:val="39"/>
        </w:numPr>
        <w:spacing w:after="160" w:line="259" w:lineRule="auto"/>
        <w:rPr>
          <w:rFonts w:asciiTheme="minorHAnsi" w:hAnsiTheme="minorHAnsi"/>
          <w:sz w:val="22"/>
          <w:szCs w:val="22"/>
          <w:lang w:val="it-IT" w:eastAsia="en-US"/>
        </w:rPr>
      </w:pPr>
      <w:r>
        <w:rPr>
          <w:rFonts w:asciiTheme="minorHAnsi" w:hAnsiTheme="minorHAnsi" w:cstheme="minorHAnsi"/>
          <w:sz w:val="22"/>
          <w:szCs w:val="22"/>
          <w:lang w:val="en-GB"/>
        </w:rPr>
        <w:t>Final meeting.</w:t>
      </w:r>
    </w:p>
    <w:p w14:paraId="10E372A6" w14:textId="77777777" w:rsidR="008533DC" w:rsidRDefault="006774A7">
      <w:pPr>
        <w:pStyle w:val="Paragraphedeliste2"/>
        <w:spacing w:line="276" w:lineRule="auto"/>
        <w:ind w:left="0"/>
        <w:contextualSpacing/>
        <w:jc w:val="both"/>
        <w:rPr>
          <w:rFonts w:asciiTheme="minorHAnsi" w:hAnsiTheme="minorHAnsi" w:cstheme="minorHAnsi"/>
          <w:sz w:val="22"/>
          <w:szCs w:val="22"/>
          <w:lang w:val="it-IT"/>
        </w:rPr>
      </w:pPr>
      <w:r>
        <w:rPr>
          <w:rFonts w:asciiTheme="minorHAnsi" w:hAnsiTheme="minorHAnsi" w:cstheme="minorHAnsi"/>
          <w:sz w:val="22"/>
          <w:szCs w:val="22"/>
          <w:lang w:val="it-IT"/>
        </w:rPr>
        <w:t xml:space="preserve">Expected deliverable: </w:t>
      </w:r>
    </w:p>
    <w:p w14:paraId="00B1FC70" w14:textId="77777777" w:rsidR="008533DC" w:rsidRDefault="006774A7">
      <w:pPr>
        <w:pStyle w:val="Paragraphedeliste2"/>
        <w:spacing w:line="276" w:lineRule="auto"/>
        <w:ind w:left="0"/>
        <w:contextualSpacing/>
        <w:jc w:val="both"/>
        <w:rPr>
          <w:rFonts w:asciiTheme="minorHAnsi" w:hAnsiTheme="minorHAnsi" w:cstheme="minorHAnsi"/>
          <w:sz w:val="22"/>
          <w:szCs w:val="22"/>
          <w:lang w:val="it-IT"/>
        </w:rPr>
      </w:pPr>
      <w:r>
        <w:rPr>
          <w:rFonts w:asciiTheme="minorHAnsi" w:hAnsiTheme="minorHAnsi" w:cstheme="minorHAnsi"/>
          <w:sz w:val="22"/>
          <w:szCs w:val="22"/>
          <w:lang w:val="it-IT"/>
        </w:rPr>
        <w:t>D.8: final report</w:t>
      </w:r>
    </w:p>
    <w:p w14:paraId="472DF5A8" w14:textId="77777777" w:rsidR="008533DC" w:rsidRDefault="008533DC">
      <w:pPr>
        <w:pStyle w:val="Paragraphedeliste2"/>
        <w:spacing w:line="276" w:lineRule="auto"/>
        <w:ind w:left="0"/>
        <w:contextualSpacing/>
        <w:jc w:val="both"/>
        <w:rPr>
          <w:rFonts w:asciiTheme="minorHAnsi" w:hAnsiTheme="minorHAnsi" w:cstheme="minorHAnsi"/>
          <w:sz w:val="22"/>
          <w:szCs w:val="22"/>
          <w:lang w:val="it-IT"/>
        </w:rPr>
      </w:pPr>
    </w:p>
    <w:p w14:paraId="493604E0"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Anticipated deliverables</w:t>
      </w:r>
    </w:p>
    <w:p w14:paraId="3865D852" w14:textId="77777777" w:rsidR="008533DC" w:rsidRDefault="008533DC">
      <w:pPr>
        <w:jc w:val="both"/>
        <w:rPr>
          <w:rFonts w:asciiTheme="minorHAnsi" w:eastAsia="Arial Unicode MS" w:hAnsiTheme="minorHAnsi" w:cstheme="minorHAnsi"/>
          <w:b/>
          <w:sz w:val="22"/>
          <w:szCs w:val="22"/>
        </w:rPr>
      </w:pPr>
    </w:p>
    <w:tbl>
      <w:tblPr>
        <w:tblStyle w:val="Grilledutableau"/>
        <w:tblW w:w="0" w:type="auto"/>
        <w:tblInd w:w="360" w:type="dxa"/>
        <w:tblLook w:val="04A0" w:firstRow="1" w:lastRow="0" w:firstColumn="1" w:lastColumn="0" w:noHBand="0" w:noVBand="1"/>
      </w:tblPr>
      <w:tblGrid>
        <w:gridCol w:w="5589"/>
        <w:gridCol w:w="3113"/>
      </w:tblGrid>
      <w:tr w:rsidR="008533DC" w14:paraId="6575BD05" w14:textId="77777777">
        <w:tc>
          <w:tcPr>
            <w:tcW w:w="5589" w:type="dxa"/>
          </w:tcPr>
          <w:p w14:paraId="36289E8D" w14:textId="77777777" w:rsidR="008533DC" w:rsidRDefault="006774A7">
            <w:p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lang w:val="en"/>
              </w:rPr>
              <w:t>Deliverables</w:t>
            </w:r>
          </w:p>
        </w:tc>
        <w:tc>
          <w:tcPr>
            <w:tcW w:w="3113" w:type="dxa"/>
          </w:tcPr>
          <w:p w14:paraId="4F575C1E"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 xml:space="preserve">End date (to be confirmed by the service provider in the proposal) </w:t>
            </w:r>
          </w:p>
        </w:tc>
      </w:tr>
      <w:tr w:rsidR="008533DC" w14:paraId="0340768F" w14:textId="77777777">
        <w:tc>
          <w:tcPr>
            <w:tcW w:w="5589" w:type="dxa"/>
          </w:tcPr>
          <w:p w14:paraId="70E145A6" w14:textId="77777777" w:rsidR="008533DC" w:rsidRDefault="006774A7">
            <w:pPr>
              <w:pStyle w:val="Paragraphedeliste"/>
              <w:numPr>
                <w:ilvl w:val="0"/>
                <w:numId w:val="6"/>
              </w:num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lang w:val="en"/>
              </w:rPr>
              <w:t xml:space="preserve">Inception Report </w:t>
            </w:r>
          </w:p>
        </w:tc>
        <w:tc>
          <w:tcPr>
            <w:tcW w:w="3113" w:type="dxa"/>
          </w:tcPr>
          <w:p w14:paraId="0D39F389"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T0 + 15 days</w:t>
            </w:r>
          </w:p>
        </w:tc>
      </w:tr>
      <w:tr w:rsidR="008533DC" w14:paraId="179D3634" w14:textId="77777777">
        <w:tc>
          <w:tcPr>
            <w:tcW w:w="5589" w:type="dxa"/>
          </w:tcPr>
          <w:p w14:paraId="5B1110BB" w14:textId="77777777" w:rsidR="008533DC" w:rsidRDefault="006774A7">
            <w:pPr>
              <w:pStyle w:val="Paragraphedeliste"/>
              <w:numPr>
                <w:ilvl w:val="0"/>
                <w:numId w:val="6"/>
              </w:numPr>
              <w:jc w:val="both"/>
              <w:rPr>
                <w:rFonts w:asciiTheme="minorHAnsi" w:eastAsia="Arial Unicode MS" w:hAnsiTheme="minorHAnsi" w:cstheme="minorHAnsi"/>
                <w:sz w:val="22"/>
                <w:szCs w:val="22"/>
                <w:lang w:val="en-US"/>
              </w:rPr>
            </w:pPr>
            <w:r>
              <w:rPr>
                <w:rFonts w:asciiTheme="minorHAnsi" w:hAnsiTheme="minorHAnsi"/>
                <w:sz w:val="22"/>
                <w:szCs w:val="22"/>
                <w:lang w:val="en-US" w:eastAsia="en-US"/>
              </w:rPr>
              <w:t>Diagnosis of the sites</w:t>
            </w:r>
          </w:p>
        </w:tc>
        <w:tc>
          <w:tcPr>
            <w:tcW w:w="3113" w:type="dxa"/>
          </w:tcPr>
          <w:p w14:paraId="38BBCC66"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T0 + 2 months</w:t>
            </w:r>
          </w:p>
        </w:tc>
      </w:tr>
      <w:tr w:rsidR="008533DC" w14:paraId="398D068D" w14:textId="77777777">
        <w:tc>
          <w:tcPr>
            <w:tcW w:w="5589" w:type="dxa"/>
          </w:tcPr>
          <w:p w14:paraId="053537DE" w14:textId="77777777" w:rsidR="008533DC" w:rsidRDefault="006774A7">
            <w:pPr>
              <w:pStyle w:val="Paragraphedeliste"/>
              <w:numPr>
                <w:ilvl w:val="0"/>
                <w:numId w:val="6"/>
              </w:numPr>
              <w:jc w:val="both"/>
              <w:rPr>
                <w:rFonts w:asciiTheme="minorHAnsi" w:eastAsia="Arial Unicode MS" w:hAnsiTheme="minorHAnsi" w:cstheme="minorHAnsi"/>
                <w:sz w:val="22"/>
                <w:szCs w:val="22"/>
                <w:lang w:val="en-US"/>
              </w:rPr>
            </w:pPr>
            <w:r>
              <w:rPr>
                <w:rFonts w:asciiTheme="minorHAnsi" w:hAnsiTheme="minorHAnsi"/>
                <w:sz w:val="22"/>
                <w:szCs w:val="22"/>
                <w:lang w:val="en-US" w:eastAsia="en-US"/>
              </w:rPr>
              <w:t xml:space="preserve">Zoning </w:t>
            </w:r>
            <w:r>
              <w:rPr>
                <w:rFonts w:asciiTheme="minorHAnsi" w:hAnsiTheme="minorHAnsi" w:cstheme="minorHAnsi"/>
                <w:sz w:val="22"/>
                <w:szCs w:val="22"/>
                <w:lang w:val="en-GB"/>
              </w:rPr>
              <w:t>of each site and differentiation of the internal zones of each site</w:t>
            </w:r>
          </w:p>
        </w:tc>
        <w:tc>
          <w:tcPr>
            <w:tcW w:w="3113" w:type="dxa"/>
          </w:tcPr>
          <w:p w14:paraId="65AD045B"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T0 + 4 months</w:t>
            </w:r>
          </w:p>
        </w:tc>
      </w:tr>
      <w:tr w:rsidR="008533DC" w14:paraId="20DA2AD8" w14:textId="77777777">
        <w:tc>
          <w:tcPr>
            <w:tcW w:w="5589" w:type="dxa"/>
          </w:tcPr>
          <w:p w14:paraId="724133D9" w14:textId="77777777" w:rsidR="008533DC" w:rsidRDefault="006774A7">
            <w:pPr>
              <w:pStyle w:val="Paragraphedeliste"/>
              <w:numPr>
                <w:ilvl w:val="0"/>
                <w:numId w:val="6"/>
              </w:numPr>
              <w:jc w:val="both"/>
              <w:rPr>
                <w:rFonts w:asciiTheme="minorHAnsi" w:eastAsia="Arial Unicode MS" w:hAnsiTheme="minorHAnsi" w:cstheme="minorHAnsi"/>
                <w:sz w:val="22"/>
                <w:szCs w:val="22"/>
              </w:rPr>
            </w:pPr>
            <w:r>
              <w:rPr>
                <w:rFonts w:asciiTheme="minorHAnsi" w:hAnsiTheme="minorHAnsi" w:cstheme="minorHAnsi"/>
                <w:sz w:val="22"/>
                <w:szCs w:val="22"/>
                <w:lang w:val="en-GB"/>
              </w:rPr>
              <w:t>Recovery objectives</w:t>
            </w:r>
          </w:p>
        </w:tc>
        <w:tc>
          <w:tcPr>
            <w:tcW w:w="3113" w:type="dxa"/>
          </w:tcPr>
          <w:p w14:paraId="4A6F09DC"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T0 + 5 months</w:t>
            </w:r>
          </w:p>
        </w:tc>
      </w:tr>
      <w:tr w:rsidR="008533DC" w14:paraId="24D8B05A" w14:textId="77777777">
        <w:tc>
          <w:tcPr>
            <w:tcW w:w="5589" w:type="dxa"/>
          </w:tcPr>
          <w:p w14:paraId="6CAA65DA" w14:textId="77777777" w:rsidR="008533DC" w:rsidRDefault="006774A7">
            <w:pPr>
              <w:pStyle w:val="Paragraphedeliste"/>
              <w:numPr>
                <w:ilvl w:val="0"/>
                <w:numId w:val="6"/>
              </w:numPr>
              <w:ind w:left="796" w:hanging="436"/>
              <w:jc w:val="both"/>
              <w:rPr>
                <w:rFonts w:asciiTheme="minorHAnsi" w:hAnsiTheme="minorHAnsi"/>
                <w:sz w:val="22"/>
                <w:szCs w:val="22"/>
                <w:lang w:val="en-GB" w:eastAsia="en-US"/>
              </w:rPr>
            </w:pPr>
            <w:r>
              <w:rPr>
                <w:rFonts w:asciiTheme="minorHAnsi" w:hAnsiTheme="minorHAnsi"/>
                <w:bCs/>
                <w:sz w:val="22"/>
                <w:szCs w:val="22"/>
                <w:lang w:val="en-GB" w:eastAsia="en-US"/>
              </w:rPr>
              <w:t>1- Experience exchange programme</w:t>
            </w:r>
          </w:p>
          <w:p w14:paraId="60123DAD" w14:textId="77777777" w:rsidR="008533DC" w:rsidRDefault="006774A7">
            <w:pPr>
              <w:ind w:left="796"/>
              <w:jc w:val="both"/>
              <w:rPr>
                <w:rFonts w:asciiTheme="minorHAnsi" w:hAnsiTheme="minorHAnsi"/>
                <w:sz w:val="22"/>
                <w:szCs w:val="22"/>
                <w:lang w:val="en-GB" w:eastAsia="en-US"/>
              </w:rPr>
            </w:pPr>
            <w:r>
              <w:rPr>
                <w:rFonts w:asciiTheme="minorHAnsi" w:hAnsiTheme="minorHAnsi"/>
                <w:sz w:val="22"/>
                <w:szCs w:val="22"/>
                <w:lang w:val="en-GB" w:eastAsia="en-US"/>
              </w:rPr>
              <w:t>2- Report on the implementation of the programme</w:t>
            </w:r>
          </w:p>
        </w:tc>
        <w:tc>
          <w:tcPr>
            <w:tcW w:w="3113" w:type="dxa"/>
          </w:tcPr>
          <w:p w14:paraId="36D4FBD3" w14:textId="77777777" w:rsidR="008533DC" w:rsidRDefault="006774A7">
            <w:pPr>
              <w:jc w:val="both"/>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T0 + 3 months</w:t>
            </w:r>
          </w:p>
          <w:p w14:paraId="23CDAFA9" w14:textId="77777777" w:rsidR="008533DC" w:rsidRDefault="006774A7">
            <w:pPr>
              <w:jc w:val="both"/>
              <w:rPr>
                <w:rFonts w:asciiTheme="minorHAnsi" w:eastAsia="Arial Unicode MS" w:hAnsiTheme="minorHAnsi" w:cstheme="minorHAnsi"/>
                <w:sz w:val="22"/>
                <w:szCs w:val="22"/>
                <w:lang w:val="en"/>
              </w:rPr>
            </w:pPr>
            <w:r>
              <w:rPr>
                <w:rFonts w:asciiTheme="minorHAnsi" w:eastAsia="Arial Unicode MS" w:hAnsiTheme="minorHAnsi" w:cstheme="minorHAnsi"/>
                <w:sz w:val="22"/>
                <w:szCs w:val="22"/>
                <w:lang w:val="en"/>
              </w:rPr>
              <w:t>T0 + 6 months</w:t>
            </w:r>
          </w:p>
        </w:tc>
      </w:tr>
      <w:tr w:rsidR="008533DC" w14:paraId="6AD971C9" w14:textId="77777777">
        <w:tc>
          <w:tcPr>
            <w:tcW w:w="5589" w:type="dxa"/>
          </w:tcPr>
          <w:p w14:paraId="27F22AE3" w14:textId="77777777" w:rsidR="008533DC" w:rsidRDefault="006774A7">
            <w:pPr>
              <w:pStyle w:val="Paragraphedeliste"/>
              <w:numPr>
                <w:ilvl w:val="0"/>
                <w:numId w:val="6"/>
              </w:num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lang w:val="en"/>
              </w:rPr>
              <w:t>Final report</w:t>
            </w:r>
          </w:p>
        </w:tc>
        <w:tc>
          <w:tcPr>
            <w:tcW w:w="3113" w:type="dxa"/>
          </w:tcPr>
          <w:p w14:paraId="1064172A" w14:textId="77777777" w:rsidR="008533DC" w:rsidRDefault="006774A7">
            <w:pPr>
              <w:jc w:val="both"/>
              <w:rPr>
                <w:rFonts w:asciiTheme="minorHAnsi" w:eastAsia="Arial Unicode MS" w:hAnsiTheme="minorHAnsi" w:cstheme="minorHAnsi"/>
                <w:sz w:val="22"/>
                <w:szCs w:val="22"/>
                <w:lang w:val="en-US"/>
              </w:rPr>
            </w:pPr>
            <w:r>
              <w:rPr>
                <w:rFonts w:asciiTheme="minorHAnsi" w:eastAsia="Arial Unicode MS" w:hAnsiTheme="minorHAnsi" w:cstheme="minorHAnsi"/>
                <w:sz w:val="22"/>
                <w:szCs w:val="22"/>
                <w:lang w:val="en"/>
              </w:rPr>
              <w:t>T0 + 7 months</w:t>
            </w:r>
          </w:p>
        </w:tc>
      </w:tr>
    </w:tbl>
    <w:p w14:paraId="32EF0975" w14:textId="77777777" w:rsidR="008533DC" w:rsidRDefault="008533DC">
      <w:pPr>
        <w:jc w:val="both"/>
        <w:rPr>
          <w:rFonts w:asciiTheme="minorHAnsi" w:eastAsia="Arial Unicode MS" w:hAnsiTheme="minorHAnsi" w:cstheme="minorHAnsi"/>
          <w:b/>
          <w:sz w:val="22"/>
          <w:szCs w:val="22"/>
          <w:lang w:val="en-US"/>
        </w:rPr>
      </w:pPr>
    </w:p>
    <w:p w14:paraId="174A9477" w14:textId="77777777" w:rsidR="008533DC" w:rsidRDefault="006774A7">
      <w:pPr>
        <w:jc w:val="both"/>
        <w:rPr>
          <w:rFonts w:asciiTheme="minorHAnsi" w:hAnsiTheme="minorHAnsi" w:cstheme="minorHAnsi"/>
          <w:b/>
          <w:sz w:val="22"/>
          <w:szCs w:val="22"/>
        </w:rPr>
      </w:pPr>
      <w:r>
        <w:rPr>
          <w:rFonts w:asciiTheme="minorHAnsi" w:hAnsiTheme="minorHAnsi" w:cstheme="minorHAnsi"/>
          <w:b/>
          <w:sz w:val="22"/>
          <w:szCs w:val="22"/>
        </w:rPr>
        <w:t xml:space="preserve">T0 refers to the contract signature date. </w:t>
      </w:r>
    </w:p>
    <w:p w14:paraId="232E4D3C" w14:textId="77777777" w:rsidR="008533DC" w:rsidRDefault="008533DC">
      <w:pPr>
        <w:jc w:val="both"/>
        <w:rPr>
          <w:rFonts w:asciiTheme="minorHAnsi" w:hAnsiTheme="minorHAnsi" w:cstheme="minorHAnsi"/>
          <w:sz w:val="22"/>
          <w:szCs w:val="22"/>
        </w:rPr>
      </w:pPr>
    </w:p>
    <w:p w14:paraId="4255AC85" w14:textId="77777777" w:rsidR="008533DC" w:rsidRDefault="006774A7">
      <w:pPr>
        <w:jc w:val="both"/>
        <w:rPr>
          <w:rFonts w:asciiTheme="minorHAnsi" w:hAnsiTheme="minorHAnsi" w:cstheme="minorHAnsi"/>
          <w:sz w:val="22"/>
          <w:szCs w:val="22"/>
        </w:rPr>
      </w:pPr>
      <w:r>
        <w:rPr>
          <w:rFonts w:asciiTheme="minorHAnsi" w:hAnsiTheme="minorHAnsi" w:cstheme="minorHAnsi"/>
          <w:sz w:val="22"/>
          <w:szCs w:val="22"/>
        </w:rPr>
        <w:t>Please note that, as the action is to be coordinated with INBAR, the proposed timeline may be subject to adjustments. </w:t>
      </w:r>
    </w:p>
    <w:p w14:paraId="6BC84D38" w14:textId="77777777" w:rsidR="008533DC" w:rsidRDefault="008533DC">
      <w:pPr>
        <w:jc w:val="both"/>
        <w:rPr>
          <w:rFonts w:asciiTheme="minorHAnsi" w:eastAsia="Arial Unicode MS" w:hAnsiTheme="minorHAnsi" w:cstheme="minorHAnsi"/>
          <w:b/>
          <w:sz w:val="22"/>
          <w:szCs w:val="22"/>
          <w:lang w:val="en-US"/>
        </w:rPr>
      </w:pPr>
    </w:p>
    <w:p w14:paraId="7E47548D"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 xml:space="preserve">Coordination </w:t>
      </w:r>
    </w:p>
    <w:p w14:paraId="1183A521" w14:textId="77777777" w:rsidR="008533DC" w:rsidRDefault="008533DC">
      <w:pPr>
        <w:jc w:val="both"/>
        <w:rPr>
          <w:rFonts w:asciiTheme="minorHAnsi" w:hAnsiTheme="minorHAnsi" w:cstheme="minorHAnsi"/>
          <w:sz w:val="22"/>
          <w:szCs w:val="22"/>
          <w:highlight w:val="cyan"/>
        </w:rPr>
      </w:pPr>
    </w:p>
    <w:p w14:paraId="026298DE" w14:textId="77777777" w:rsidR="008533DC" w:rsidRDefault="006774A7">
      <w:pPr>
        <w:jc w:val="both"/>
        <w:rPr>
          <w:rFonts w:asciiTheme="minorHAnsi" w:hAnsiTheme="minorHAnsi" w:cstheme="minorHAnsi"/>
          <w:sz w:val="22"/>
          <w:szCs w:val="22"/>
          <w:lang w:val="en-US"/>
        </w:rPr>
      </w:pPr>
      <w:r>
        <w:rPr>
          <w:rFonts w:asciiTheme="minorHAnsi" w:hAnsiTheme="minorHAnsi" w:cstheme="minorHAnsi"/>
          <w:sz w:val="22"/>
          <w:szCs w:val="22"/>
          <w:lang w:val="en"/>
        </w:rPr>
        <w:t>The service provider shall designate a single contact person for project implementation purposes.</w:t>
      </w:r>
    </w:p>
    <w:p w14:paraId="1B8F20C4" w14:textId="77777777" w:rsidR="008533DC" w:rsidRDefault="006774A7">
      <w:pPr>
        <w:jc w:val="both"/>
        <w:rPr>
          <w:rFonts w:asciiTheme="minorHAnsi" w:hAnsiTheme="minorHAnsi" w:cstheme="minorHAnsi"/>
          <w:sz w:val="22"/>
          <w:szCs w:val="22"/>
          <w:lang w:val="en-US"/>
        </w:rPr>
      </w:pPr>
      <w:r>
        <w:rPr>
          <w:rFonts w:asciiTheme="minorHAnsi" w:hAnsiTheme="minorHAnsi" w:cstheme="minorHAnsi"/>
          <w:sz w:val="22"/>
          <w:szCs w:val="22"/>
          <w:lang w:val="en"/>
        </w:rPr>
        <w:t>M. Anthony DICANOT and Mme. Loélia MAIRE of the Sustainable Development Department will be the service provider’s main contact persons for Expertise France</w:t>
      </w:r>
    </w:p>
    <w:p w14:paraId="5CE8C7CF" w14:textId="77777777" w:rsidR="008533DC" w:rsidRDefault="006774A7">
      <w:pPr>
        <w:jc w:val="both"/>
        <w:rPr>
          <w:rFonts w:asciiTheme="minorHAnsi" w:hAnsiTheme="minorHAnsi" w:cstheme="minorHAnsi"/>
          <w:sz w:val="22"/>
          <w:szCs w:val="22"/>
        </w:rPr>
      </w:pPr>
      <w:r>
        <w:rPr>
          <w:rFonts w:asciiTheme="minorHAnsi" w:hAnsiTheme="minorHAnsi" w:cstheme="minorHAnsi"/>
          <w:sz w:val="22"/>
          <w:szCs w:val="22"/>
        </w:rPr>
        <w:t xml:space="preserve">E-mail: </w:t>
      </w:r>
      <w:hyperlink r:id="rId9" w:tooltip="mailto:anthony.dicanot@expertisefrance.fr" w:history="1">
        <w:r>
          <w:rPr>
            <w:rStyle w:val="Lienhypertexte"/>
            <w:rFonts w:asciiTheme="minorHAnsi" w:hAnsiTheme="minorHAnsi" w:cstheme="minorHAnsi"/>
            <w:sz w:val="22"/>
            <w:szCs w:val="22"/>
          </w:rPr>
          <w:t>anthony.dicanot@expertisefrance.fr</w:t>
        </w:r>
      </w:hyperlink>
      <w:r>
        <w:rPr>
          <w:rFonts w:asciiTheme="minorHAnsi" w:hAnsiTheme="minorHAnsi" w:cstheme="minorHAnsi"/>
          <w:sz w:val="22"/>
          <w:szCs w:val="22"/>
          <w:lang w:val="en-US"/>
        </w:rPr>
        <w:t> </w:t>
      </w:r>
      <w:r>
        <w:rPr>
          <w:rFonts w:asciiTheme="minorHAnsi" w:hAnsiTheme="minorHAnsi" w:cstheme="minorHAnsi"/>
          <w:sz w:val="22"/>
          <w:szCs w:val="22"/>
        </w:rPr>
        <w:t xml:space="preserve">; </w:t>
      </w:r>
      <w:hyperlink r:id="rId10" w:tooltip="mailto:loelia.maire@expertisefrance.fr" w:history="1">
        <w:r>
          <w:rPr>
            <w:rStyle w:val="Lienhypertexte"/>
            <w:rFonts w:asciiTheme="minorHAnsi" w:hAnsiTheme="minorHAnsi" w:cstheme="minorHAnsi"/>
            <w:sz w:val="22"/>
            <w:szCs w:val="22"/>
          </w:rPr>
          <w:t>loelia.maire@expertisefrance.fr</w:t>
        </w:r>
      </w:hyperlink>
      <w:r>
        <w:rPr>
          <w:rFonts w:asciiTheme="minorHAnsi" w:hAnsiTheme="minorHAnsi" w:cstheme="minorHAnsi"/>
          <w:sz w:val="22"/>
          <w:szCs w:val="22"/>
        </w:rPr>
        <w:t xml:space="preserve"> </w:t>
      </w:r>
    </w:p>
    <w:p w14:paraId="6946416A" w14:textId="77777777" w:rsidR="008533DC" w:rsidRDefault="008533DC">
      <w:pPr>
        <w:jc w:val="both"/>
        <w:rPr>
          <w:rFonts w:asciiTheme="minorHAnsi" w:hAnsiTheme="minorHAnsi" w:cstheme="minorHAnsi"/>
          <w:sz w:val="22"/>
          <w:szCs w:val="22"/>
        </w:rPr>
      </w:pPr>
    </w:p>
    <w:p w14:paraId="47486AF4" w14:textId="77777777" w:rsidR="008533DC" w:rsidRDefault="006774A7">
      <w:pPr>
        <w:pStyle w:val="NormalWeb"/>
        <w:spacing w:before="0" w:beforeAutospacing="0" w:after="0" w:afterAutospacing="0"/>
        <w:rPr>
          <w:rFonts w:asciiTheme="minorHAnsi" w:hAnsiTheme="minorHAnsi" w:cs="Calibri"/>
          <w:sz w:val="22"/>
          <w:szCs w:val="22"/>
          <w:lang w:val="en-US"/>
        </w:rPr>
      </w:pPr>
      <w:r>
        <w:rPr>
          <w:rFonts w:asciiTheme="minorHAnsi" w:hAnsiTheme="minorHAnsi" w:cs="Calibri"/>
          <w:sz w:val="22"/>
          <w:szCs w:val="22"/>
          <w:lang w:val="en"/>
        </w:rPr>
        <w:t>Ria Bisnauth, Special Projects Officer in Forest Resource Management Division, Guyana Forestry Commission, will be the service provider’s main contact person for Guyana</w:t>
      </w:r>
    </w:p>
    <w:p w14:paraId="403BFE9D" w14:textId="77777777" w:rsidR="008533DC" w:rsidRDefault="006774A7">
      <w:pPr>
        <w:jc w:val="both"/>
        <w:rPr>
          <w:rFonts w:asciiTheme="minorHAnsi" w:hAnsiTheme="minorHAnsi" w:cs="Calibri"/>
          <w:sz w:val="22"/>
          <w:szCs w:val="22"/>
          <w:lang w:val="en-GB"/>
        </w:rPr>
      </w:pPr>
      <w:r>
        <w:rPr>
          <w:rFonts w:asciiTheme="minorHAnsi" w:hAnsiTheme="minorHAnsi" w:cs="Calibri"/>
          <w:sz w:val="22"/>
          <w:szCs w:val="22"/>
          <w:lang w:val="en-GB"/>
        </w:rPr>
        <w:t xml:space="preserve">E-mail: </w:t>
      </w:r>
      <w:hyperlink r:id="rId11" w:tooltip="mailto:riaokbisnauth@gmail.com" w:history="1">
        <w:r>
          <w:rPr>
            <w:rStyle w:val="Lienhypertexte"/>
            <w:rFonts w:asciiTheme="minorHAnsi" w:hAnsiTheme="minorHAnsi" w:cs="Calibri"/>
            <w:sz w:val="22"/>
            <w:szCs w:val="22"/>
            <w:lang w:val="en-GB"/>
          </w:rPr>
          <w:t>riaokbisnauth@gmail.com</w:t>
        </w:r>
      </w:hyperlink>
      <w:r>
        <w:rPr>
          <w:rFonts w:asciiTheme="minorHAnsi" w:hAnsiTheme="minorHAnsi" w:cs="Calibri"/>
          <w:sz w:val="22"/>
          <w:szCs w:val="22"/>
          <w:lang w:val="en-GB"/>
        </w:rPr>
        <w:t xml:space="preserve"> </w:t>
      </w:r>
    </w:p>
    <w:p w14:paraId="58A39D0F" w14:textId="77777777" w:rsidR="008533DC" w:rsidRDefault="008533DC">
      <w:pPr>
        <w:jc w:val="both"/>
        <w:rPr>
          <w:rFonts w:asciiTheme="minorHAnsi" w:hAnsiTheme="minorHAnsi" w:cs="Calibri"/>
          <w:sz w:val="22"/>
          <w:szCs w:val="22"/>
          <w:lang w:val="en-GB"/>
        </w:rPr>
      </w:pPr>
    </w:p>
    <w:p w14:paraId="17CD21FE" w14:textId="77777777" w:rsidR="008533DC" w:rsidRDefault="006774A7">
      <w:pPr>
        <w:jc w:val="both"/>
        <w:rPr>
          <w:rFonts w:asciiTheme="minorHAnsi" w:hAnsiTheme="minorHAnsi" w:cs="Calibri"/>
          <w:sz w:val="22"/>
          <w:szCs w:val="22"/>
          <w:lang w:val="en-GB"/>
        </w:rPr>
      </w:pPr>
      <w:r>
        <w:rPr>
          <w:rFonts w:asciiTheme="minorHAnsi" w:hAnsiTheme="minorHAnsi" w:cs="Calibri"/>
          <w:sz w:val="22"/>
          <w:szCs w:val="22"/>
          <w:lang w:val="en"/>
        </w:rPr>
        <w:t xml:space="preserve">A launch meeting shall be held 15 days after the contract award has been notified. The meeting will gather relevant representatives from the service provider, the Euroclima Team at EF, the European </w:t>
      </w:r>
      <w:r>
        <w:rPr>
          <w:rFonts w:asciiTheme="minorHAnsi" w:hAnsiTheme="minorHAnsi" w:cs="Calibri"/>
          <w:sz w:val="22"/>
          <w:szCs w:val="22"/>
          <w:lang w:val="en"/>
        </w:rPr>
        <w:lastRenderedPageBreak/>
        <w:t xml:space="preserve">Union delegations in Guyana and in Barbados, the Ministry of Natural Resources, and the Guyana Forestry Commission. </w:t>
      </w:r>
    </w:p>
    <w:p w14:paraId="339DC313" w14:textId="77777777" w:rsidR="008533DC" w:rsidRDefault="008533DC">
      <w:pPr>
        <w:jc w:val="both"/>
        <w:rPr>
          <w:rFonts w:asciiTheme="minorHAnsi" w:hAnsiTheme="minorHAnsi" w:cs="Calibri"/>
          <w:sz w:val="22"/>
          <w:szCs w:val="22"/>
          <w:lang w:val="en-US"/>
        </w:rPr>
      </w:pPr>
    </w:p>
    <w:p w14:paraId="4651736A" w14:textId="77777777" w:rsidR="008533DC" w:rsidRDefault="006774A7">
      <w:pPr>
        <w:jc w:val="both"/>
        <w:rPr>
          <w:rFonts w:asciiTheme="minorHAnsi" w:hAnsiTheme="minorHAnsi" w:cs="Calibri"/>
          <w:sz w:val="22"/>
          <w:szCs w:val="22"/>
          <w:lang w:val="en"/>
        </w:rPr>
      </w:pPr>
      <w:r>
        <w:rPr>
          <w:rFonts w:asciiTheme="minorHAnsi" w:hAnsiTheme="minorHAnsi" w:cs="Calibri"/>
          <w:sz w:val="22"/>
          <w:szCs w:val="22"/>
          <w:lang w:val="en"/>
        </w:rPr>
        <w:t>Close collaboration must take place with all relevant stakeholders from assignment preparation right up to completion. Furthermore, regular exchanges must take place on assignment progress and any difficulties that may be encountered.</w:t>
      </w:r>
    </w:p>
    <w:p w14:paraId="3DC5763C" w14:textId="77777777" w:rsidR="008533DC" w:rsidRDefault="008533DC">
      <w:pPr>
        <w:jc w:val="both"/>
        <w:rPr>
          <w:rFonts w:asciiTheme="minorHAnsi" w:hAnsiTheme="minorHAnsi" w:cs="Calibri"/>
          <w:sz w:val="22"/>
          <w:szCs w:val="22"/>
          <w:lang w:val="en"/>
        </w:rPr>
      </w:pPr>
    </w:p>
    <w:p w14:paraId="5B55B5A2" w14:textId="77777777" w:rsidR="008533DC" w:rsidRDefault="006774A7">
      <w:pPr>
        <w:jc w:val="both"/>
        <w:rPr>
          <w:rFonts w:asciiTheme="minorHAnsi" w:hAnsiTheme="minorHAnsi" w:cs="Calibri"/>
          <w:sz w:val="22"/>
          <w:szCs w:val="22"/>
          <w:lang w:val="en"/>
        </w:rPr>
      </w:pPr>
      <w:r>
        <w:rPr>
          <w:rFonts w:asciiTheme="minorHAnsi" w:hAnsiTheme="minorHAnsi" w:cs="Calibri"/>
          <w:sz w:val="22"/>
          <w:szCs w:val="22"/>
          <w:lang w:val="en"/>
        </w:rPr>
        <w:t>Any change of contacts will be notified by the relevant party to the others.</w:t>
      </w:r>
    </w:p>
    <w:p w14:paraId="0225FFE4" w14:textId="77777777" w:rsidR="008533DC" w:rsidRDefault="008533DC">
      <w:pPr>
        <w:rPr>
          <w:rFonts w:asciiTheme="minorHAnsi" w:hAnsiTheme="minorHAnsi" w:cstheme="minorHAnsi"/>
          <w:sz w:val="22"/>
          <w:szCs w:val="22"/>
          <w:lang w:val="en-US"/>
        </w:rPr>
      </w:pPr>
    </w:p>
    <w:p w14:paraId="06D680DC"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Place, duration and terms of performance</w:t>
      </w:r>
    </w:p>
    <w:p w14:paraId="6E1A1FC9" w14:textId="77777777" w:rsidR="008533DC" w:rsidRDefault="008533DC">
      <w:pPr>
        <w:rPr>
          <w:rFonts w:asciiTheme="minorHAnsi" w:hAnsiTheme="minorHAnsi" w:cstheme="minorHAnsi"/>
          <w:sz w:val="22"/>
          <w:szCs w:val="22"/>
          <w:highlight w:val="cyan"/>
          <w:lang w:val="en-US"/>
        </w:rPr>
      </w:pPr>
    </w:p>
    <w:p w14:paraId="7B4244C3"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lang w:val="en-US"/>
        </w:rPr>
      </w:pPr>
      <w:r>
        <w:rPr>
          <w:rFonts w:asciiTheme="minorHAnsi" w:eastAsia="Arial Unicode MS" w:hAnsiTheme="minorHAnsi" w:cstheme="minorHAnsi"/>
          <w:b/>
          <w:sz w:val="22"/>
          <w:szCs w:val="22"/>
          <w:lang w:val="en-US"/>
        </w:rPr>
        <w:t xml:space="preserve">Place of the assignment: </w:t>
      </w:r>
      <w:r>
        <w:rPr>
          <w:rFonts w:asciiTheme="minorHAnsi" w:hAnsiTheme="minorHAnsi" w:cstheme="minorHAnsi"/>
          <w:sz w:val="22"/>
          <w:lang w:val="en-GB"/>
        </w:rPr>
        <w:t xml:space="preserve">the work will be conducted at the premises of the service provider. Fields visits will be organised and implemented in Guyana and a study tour will be organised in French Guiana. </w:t>
      </w:r>
      <w:r>
        <w:rPr>
          <w:rFonts w:asciiTheme="minorHAnsi" w:hAnsiTheme="minorHAnsi" w:cstheme="minorHAnsi"/>
          <w:sz w:val="22"/>
          <w:lang w:val="en-US"/>
        </w:rPr>
        <w:t>The planning of missions to Guyana will be done in coordination with GFC and Expertise France.</w:t>
      </w:r>
    </w:p>
    <w:p w14:paraId="3854ED58" w14:textId="77777777" w:rsidR="008533DC" w:rsidRDefault="008533DC">
      <w:pPr>
        <w:ind w:left="900"/>
        <w:rPr>
          <w:rFonts w:asciiTheme="minorHAnsi" w:eastAsia="Arial Unicode MS" w:hAnsiTheme="minorHAnsi" w:cstheme="minorHAnsi"/>
          <w:b/>
          <w:sz w:val="22"/>
          <w:szCs w:val="22"/>
          <w:lang w:val="en-US"/>
        </w:rPr>
      </w:pPr>
    </w:p>
    <w:p w14:paraId="2D22103A" w14:textId="77777777" w:rsidR="008533DC" w:rsidRDefault="006774A7">
      <w:pPr>
        <w:numPr>
          <w:ilvl w:val="1"/>
          <w:numId w:val="2"/>
        </w:numPr>
        <w:tabs>
          <w:tab w:val="clear" w:pos="1440"/>
          <w:tab w:val="num" w:pos="900"/>
        </w:tabs>
        <w:ind w:left="900"/>
        <w:rPr>
          <w:rFonts w:asciiTheme="minorHAnsi" w:eastAsia="Arial Unicode MS" w:hAnsiTheme="minorHAnsi" w:cstheme="minorHAnsi"/>
          <w:sz w:val="22"/>
          <w:szCs w:val="22"/>
        </w:rPr>
      </w:pPr>
      <w:r>
        <w:rPr>
          <w:rFonts w:asciiTheme="minorHAnsi" w:eastAsia="Arial Unicode MS" w:hAnsiTheme="minorHAnsi" w:cstheme="minorHAnsi"/>
          <w:b/>
          <w:bCs/>
          <w:sz w:val="22"/>
          <w:szCs w:val="22"/>
          <w:lang w:val="en"/>
        </w:rPr>
        <w:t xml:space="preserve">Implementation period: </w:t>
      </w:r>
      <w:r>
        <w:rPr>
          <w:rFonts w:asciiTheme="minorHAnsi" w:eastAsia="Arial Unicode MS" w:hAnsiTheme="minorHAnsi" w:cstheme="minorHAnsi"/>
          <w:bCs/>
          <w:sz w:val="22"/>
          <w:szCs w:val="22"/>
          <w:lang w:val="en"/>
        </w:rPr>
        <w:t>7 months</w:t>
      </w:r>
    </w:p>
    <w:p w14:paraId="0ED550F2" w14:textId="77777777" w:rsidR="008533DC" w:rsidRDefault="008533DC">
      <w:pPr>
        <w:ind w:left="1080"/>
        <w:rPr>
          <w:rFonts w:asciiTheme="minorHAnsi" w:hAnsiTheme="minorHAnsi" w:cstheme="minorHAnsi"/>
          <w:sz w:val="22"/>
          <w:szCs w:val="22"/>
        </w:rPr>
      </w:pPr>
    </w:p>
    <w:p w14:paraId="288F1F85" w14:textId="77777777" w:rsidR="008533DC" w:rsidRDefault="006774A7">
      <w:pPr>
        <w:spacing w:after="160" w:line="259" w:lineRule="auto"/>
        <w:jc w:val="both"/>
        <w:rPr>
          <w:rFonts w:asciiTheme="minorHAnsi" w:hAnsiTheme="minorHAnsi"/>
          <w:sz w:val="22"/>
          <w:szCs w:val="22"/>
          <w:lang w:val="en-US" w:eastAsia="en-US"/>
        </w:rPr>
      </w:pPr>
      <w:r>
        <w:rPr>
          <w:rFonts w:asciiTheme="minorHAnsi" w:hAnsiTheme="minorHAnsi"/>
          <w:sz w:val="22"/>
          <w:szCs w:val="22"/>
          <w:lang w:val="en-US" w:eastAsia="en-US"/>
        </w:rPr>
        <w:t>The service provider will provide a detailed description of the activities to be undertaken for each specific objective and a detailed workplan, with a timetable for the delivery of deliverables.</w:t>
      </w:r>
    </w:p>
    <w:p w14:paraId="15B8EF5C" w14:textId="77777777" w:rsidR="008533DC" w:rsidRDefault="008533DC">
      <w:pPr>
        <w:rPr>
          <w:rFonts w:asciiTheme="minorHAnsi" w:hAnsiTheme="minorHAnsi" w:cstheme="minorHAnsi"/>
          <w:sz w:val="22"/>
          <w:szCs w:val="22"/>
          <w:lang w:val="en-US"/>
        </w:rPr>
      </w:pPr>
    </w:p>
    <w:p w14:paraId="72C35F2E"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Required expertise and profile</w:t>
      </w:r>
    </w:p>
    <w:p w14:paraId="4C2761D8" w14:textId="77777777" w:rsidR="008533DC" w:rsidRDefault="008533DC">
      <w:pPr>
        <w:ind w:left="540"/>
        <w:jc w:val="both"/>
        <w:rPr>
          <w:rFonts w:asciiTheme="minorHAnsi" w:eastAsia="Arial Unicode MS" w:hAnsiTheme="minorHAnsi" w:cstheme="minorHAnsi"/>
          <w:b/>
          <w:sz w:val="22"/>
          <w:szCs w:val="22"/>
        </w:rPr>
      </w:pPr>
    </w:p>
    <w:p w14:paraId="1DE1784F" w14:textId="77777777" w:rsidR="008533DC" w:rsidRDefault="006774A7">
      <w:pPr>
        <w:numPr>
          <w:ilvl w:val="1"/>
          <w:numId w:val="2"/>
        </w:numPr>
        <w:tabs>
          <w:tab w:val="clear" w:pos="1440"/>
          <w:tab w:val="num" w:pos="900"/>
        </w:tabs>
        <w:ind w:left="900"/>
        <w:jc w:val="both"/>
        <w:rPr>
          <w:rFonts w:asciiTheme="minorHAnsi" w:eastAsia="Arial Unicode MS" w:hAnsiTheme="minorHAnsi" w:cstheme="minorHAnsi"/>
          <w:b/>
          <w:sz w:val="22"/>
          <w:szCs w:val="22"/>
          <w:lang w:val="en-US"/>
        </w:rPr>
      </w:pPr>
      <w:r>
        <w:rPr>
          <w:rFonts w:asciiTheme="minorHAnsi" w:eastAsia="Arial Unicode MS" w:hAnsiTheme="minorHAnsi" w:cstheme="minorHAnsi"/>
          <w:b/>
          <w:bCs/>
          <w:sz w:val="22"/>
          <w:szCs w:val="22"/>
          <w:lang w:val="en"/>
        </w:rPr>
        <w:t>Profile of the designated expert(s) responsible for contract execution</w:t>
      </w:r>
    </w:p>
    <w:p w14:paraId="6DD12432" w14:textId="77777777" w:rsidR="008533DC" w:rsidRDefault="008533DC">
      <w:pPr>
        <w:jc w:val="both"/>
        <w:rPr>
          <w:rFonts w:asciiTheme="minorHAnsi" w:hAnsiTheme="minorHAnsi" w:cstheme="minorHAnsi"/>
          <w:sz w:val="22"/>
          <w:szCs w:val="22"/>
          <w:u w:val="single"/>
          <w:lang w:val="en-US"/>
        </w:rPr>
      </w:pPr>
    </w:p>
    <w:p w14:paraId="0B668688" w14:textId="77777777" w:rsidR="008533DC" w:rsidRDefault="006774A7">
      <w:pPr>
        <w:jc w:val="both"/>
        <w:rPr>
          <w:rFonts w:asciiTheme="minorHAnsi" w:hAnsiTheme="minorHAnsi" w:cstheme="minorHAnsi"/>
          <w:sz w:val="22"/>
          <w:szCs w:val="22"/>
          <w:lang w:val="en-US"/>
        </w:rPr>
      </w:pPr>
      <w:r>
        <w:rPr>
          <w:rFonts w:asciiTheme="minorHAnsi" w:hAnsiTheme="minorHAnsi" w:cstheme="minorHAnsi"/>
          <w:sz w:val="22"/>
          <w:szCs w:val="22"/>
          <w:lang w:val="en-US"/>
        </w:rPr>
        <w:t>Collectively, the consulting team will have the following characteristics.</w:t>
      </w:r>
    </w:p>
    <w:p w14:paraId="7743C653" w14:textId="77777777" w:rsidR="008533DC" w:rsidRDefault="008533DC">
      <w:pPr>
        <w:jc w:val="both"/>
        <w:rPr>
          <w:rFonts w:asciiTheme="minorHAnsi" w:hAnsiTheme="minorHAnsi" w:cstheme="minorHAnsi"/>
          <w:sz w:val="22"/>
          <w:szCs w:val="22"/>
          <w:lang w:val="en-US"/>
        </w:rPr>
      </w:pPr>
    </w:p>
    <w:p w14:paraId="7E1C63D2" w14:textId="77777777" w:rsidR="008533DC" w:rsidRDefault="006774A7">
      <w:pPr>
        <w:numPr>
          <w:ilvl w:val="0"/>
          <w:numId w:val="4"/>
        </w:numPr>
        <w:tabs>
          <w:tab w:val="num" w:pos="720"/>
        </w:tabs>
        <w:jc w:val="both"/>
        <w:rPr>
          <w:rFonts w:asciiTheme="minorHAnsi" w:hAnsiTheme="minorHAnsi" w:cstheme="minorHAnsi"/>
          <w:iCs/>
          <w:sz w:val="22"/>
          <w:szCs w:val="22"/>
          <w:u w:val="single"/>
        </w:rPr>
      </w:pPr>
      <w:r>
        <w:rPr>
          <w:rFonts w:asciiTheme="minorHAnsi" w:hAnsiTheme="minorHAnsi" w:cstheme="minorHAnsi"/>
          <w:sz w:val="22"/>
          <w:szCs w:val="22"/>
          <w:u w:val="single"/>
          <w:lang w:val="en"/>
        </w:rPr>
        <w:t>Qualifications and skills:</w:t>
      </w:r>
    </w:p>
    <w:p w14:paraId="222E714B"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
        </w:rPr>
        <w:t xml:space="preserve">Holder of a postgraduate university, </w:t>
      </w:r>
      <w:r>
        <w:rPr>
          <w:rFonts w:asciiTheme="minorHAnsi" w:hAnsiTheme="minorHAnsi" w:cstheme="minorHAnsi"/>
          <w:sz w:val="22"/>
          <w:szCs w:val="22"/>
          <w:lang w:val="en-US"/>
        </w:rPr>
        <w:t>or engineering degree</w:t>
      </w:r>
      <w:r>
        <w:rPr>
          <w:rFonts w:asciiTheme="minorHAnsi" w:hAnsiTheme="minorHAnsi" w:cstheme="minorHAnsi"/>
          <w:sz w:val="22"/>
          <w:szCs w:val="22"/>
          <w:lang w:val="en"/>
        </w:rPr>
        <w:t xml:space="preserve"> in </w:t>
      </w:r>
      <w:r>
        <w:rPr>
          <w:rFonts w:asciiTheme="minorHAnsi" w:hAnsiTheme="minorHAnsi" w:cstheme="minorHAnsi"/>
          <w:sz w:val="22"/>
          <w:szCs w:val="22"/>
          <w:lang w:val="en-US"/>
        </w:rPr>
        <w:t xml:space="preserve">biology, natural sciences, agroecology engineering or biological engineering </w:t>
      </w:r>
      <w:r>
        <w:rPr>
          <w:rFonts w:asciiTheme="minorHAnsi" w:hAnsiTheme="minorHAnsi" w:cstheme="minorHAnsi"/>
          <w:sz w:val="22"/>
          <w:szCs w:val="22"/>
          <w:lang w:val="en"/>
        </w:rPr>
        <w:t>or equivalent experience.</w:t>
      </w:r>
    </w:p>
    <w:p w14:paraId="6ABD036A" w14:textId="77777777" w:rsidR="008533DC" w:rsidRDefault="006774A7">
      <w:pPr>
        <w:numPr>
          <w:ilvl w:val="0"/>
          <w:numId w:val="1"/>
        </w:numPr>
        <w:jc w:val="both"/>
        <w:rPr>
          <w:rFonts w:asciiTheme="minorHAnsi" w:hAnsiTheme="minorHAnsi" w:cstheme="minorHAnsi"/>
          <w:sz w:val="22"/>
          <w:szCs w:val="22"/>
        </w:rPr>
      </w:pPr>
      <w:r>
        <w:rPr>
          <w:rFonts w:asciiTheme="minorHAnsi" w:hAnsiTheme="minorHAnsi" w:cstheme="minorHAnsi"/>
          <w:sz w:val="22"/>
          <w:szCs w:val="22"/>
          <w:lang w:val="en"/>
        </w:rPr>
        <w:t>Excellent qualities/capacities in:</w:t>
      </w:r>
    </w:p>
    <w:p w14:paraId="7038EA0C"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hAnsiTheme="minorHAnsi" w:cstheme="minorHAnsi"/>
          <w:sz w:val="22"/>
          <w:szCs w:val="22"/>
          <w:lang w:val="en"/>
        </w:rPr>
        <w:t>Communication</w:t>
      </w:r>
    </w:p>
    <w:p w14:paraId="5277C7D1"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hAnsiTheme="minorHAnsi" w:cstheme="minorHAnsi"/>
          <w:sz w:val="22"/>
          <w:szCs w:val="22"/>
          <w:lang w:val="en"/>
        </w:rPr>
        <w:t>Teamwork and interpersonal skills</w:t>
      </w:r>
    </w:p>
    <w:p w14:paraId="583987B3"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lang w:val="en"/>
        </w:rPr>
        <w:t xml:space="preserve">Knowledge transfer </w:t>
      </w:r>
    </w:p>
    <w:p w14:paraId="3217B1A6"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hAnsiTheme="minorHAnsi" w:cstheme="minorHAnsi"/>
          <w:sz w:val="22"/>
          <w:szCs w:val="22"/>
          <w:lang w:val="en"/>
        </w:rPr>
        <w:t>Analysis and reporting</w:t>
      </w:r>
    </w:p>
    <w:p w14:paraId="5206FC0E"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hAnsiTheme="minorHAnsi" w:cstheme="minorHAnsi"/>
          <w:sz w:val="22"/>
          <w:szCs w:val="22"/>
          <w:lang w:val="en"/>
        </w:rPr>
        <w:t>Problem identification and resolution</w:t>
      </w:r>
    </w:p>
    <w:p w14:paraId="71007B40" w14:textId="77777777" w:rsidR="008533DC" w:rsidRDefault="006774A7">
      <w:pPr>
        <w:numPr>
          <w:ilvl w:val="1"/>
          <w:numId w:val="3"/>
        </w:numPr>
        <w:jc w:val="both"/>
        <w:rPr>
          <w:rFonts w:asciiTheme="minorHAnsi" w:eastAsia="Arial Unicode MS" w:hAnsiTheme="minorHAnsi" w:cstheme="minorHAnsi"/>
          <w:sz w:val="22"/>
          <w:szCs w:val="22"/>
        </w:rPr>
      </w:pPr>
      <w:r>
        <w:rPr>
          <w:rFonts w:asciiTheme="minorHAnsi" w:hAnsiTheme="minorHAnsi" w:cstheme="minorHAnsi"/>
          <w:sz w:val="22"/>
          <w:szCs w:val="22"/>
          <w:lang w:val="en"/>
        </w:rPr>
        <w:t>Decision-making and taking initiatives</w:t>
      </w:r>
    </w:p>
    <w:p w14:paraId="3A85421B"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
        </w:rPr>
        <w:t>High proficiency in written and spoken French and English.</w:t>
      </w:r>
    </w:p>
    <w:p w14:paraId="2545E964" w14:textId="77777777" w:rsidR="008533DC" w:rsidRDefault="008533DC">
      <w:pPr>
        <w:jc w:val="both"/>
        <w:rPr>
          <w:rFonts w:asciiTheme="minorHAnsi" w:hAnsiTheme="minorHAnsi" w:cstheme="minorHAnsi"/>
          <w:sz w:val="22"/>
          <w:szCs w:val="22"/>
          <w:lang w:val="en-US"/>
        </w:rPr>
      </w:pPr>
    </w:p>
    <w:p w14:paraId="0617642B" w14:textId="77777777" w:rsidR="008533DC" w:rsidRDefault="006774A7">
      <w:pPr>
        <w:numPr>
          <w:ilvl w:val="0"/>
          <w:numId w:val="4"/>
        </w:numPr>
        <w:tabs>
          <w:tab w:val="num" w:pos="720"/>
        </w:tabs>
        <w:jc w:val="both"/>
        <w:rPr>
          <w:rFonts w:asciiTheme="minorHAnsi" w:hAnsiTheme="minorHAnsi" w:cstheme="minorHAnsi"/>
          <w:iCs/>
          <w:sz w:val="22"/>
          <w:szCs w:val="22"/>
          <w:u w:val="single"/>
        </w:rPr>
      </w:pPr>
      <w:r>
        <w:rPr>
          <w:rFonts w:asciiTheme="minorHAnsi" w:hAnsiTheme="minorHAnsi" w:cstheme="minorHAnsi"/>
          <w:sz w:val="22"/>
          <w:szCs w:val="22"/>
          <w:u w:val="single"/>
          <w:lang w:val="en"/>
        </w:rPr>
        <w:t>General professional experience</w:t>
      </w:r>
    </w:p>
    <w:p w14:paraId="4A6A79FF"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US"/>
        </w:rPr>
        <w:t>Professional experience of at least 10 years in relation to restoration of degraded sites, particularly because of mining, preferably in the Guyana Shield.</w:t>
      </w:r>
    </w:p>
    <w:p w14:paraId="71D70433"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
        </w:rPr>
        <w:t xml:space="preserve">Solid understanding of the issues relating to </w:t>
      </w:r>
      <w:r>
        <w:rPr>
          <w:rFonts w:asciiTheme="minorHAnsi" w:hAnsiTheme="minorHAnsi" w:cstheme="minorHAnsi"/>
          <w:sz w:val="22"/>
          <w:szCs w:val="22"/>
          <w:lang w:val="en-US"/>
        </w:rPr>
        <w:t>tools for diagnosing degraded sites: mapping, GIS, soil analysis</w:t>
      </w:r>
      <w:r>
        <w:rPr>
          <w:rFonts w:asciiTheme="minorHAnsi" w:hAnsiTheme="minorHAnsi" w:cstheme="minorHAnsi"/>
          <w:sz w:val="22"/>
          <w:szCs w:val="22"/>
          <w:lang w:val="en"/>
        </w:rPr>
        <w:t>.</w:t>
      </w:r>
    </w:p>
    <w:p w14:paraId="60C90D30" w14:textId="77777777" w:rsidR="008533DC" w:rsidRDefault="008533DC">
      <w:pPr>
        <w:jc w:val="both"/>
        <w:rPr>
          <w:rFonts w:asciiTheme="minorHAnsi" w:hAnsiTheme="minorHAnsi" w:cstheme="minorHAnsi"/>
          <w:i/>
          <w:sz w:val="22"/>
          <w:szCs w:val="22"/>
          <w:u w:val="single"/>
          <w:lang w:val="en-US"/>
        </w:rPr>
      </w:pPr>
    </w:p>
    <w:p w14:paraId="1C0BE399" w14:textId="77777777" w:rsidR="008533DC" w:rsidRDefault="006774A7">
      <w:pPr>
        <w:numPr>
          <w:ilvl w:val="0"/>
          <w:numId w:val="4"/>
        </w:numPr>
        <w:tabs>
          <w:tab w:val="num" w:pos="720"/>
        </w:tabs>
        <w:jc w:val="both"/>
        <w:rPr>
          <w:rFonts w:asciiTheme="minorHAnsi" w:hAnsiTheme="minorHAnsi" w:cstheme="minorHAnsi"/>
          <w:iCs/>
          <w:sz w:val="22"/>
          <w:szCs w:val="22"/>
          <w:u w:val="single"/>
        </w:rPr>
      </w:pPr>
      <w:r>
        <w:rPr>
          <w:rFonts w:asciiTheme="minorHAnsi" w:hAnsiTheme="minorHAnsi" w:cstheme="minorHAnsi"/>
          <w:sz w:val="22"/>
          <w:szCs w:val="22"/>
          <w:u w:val="single"/>
          <w:lang w:val="en"/>
        </w:rPr>
        <w:t>Specific professional experience</w:t>
      </w:r>
    </w:p>
    <w:p w14:paraId="0F273369"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
        </w:rPr>
        <w:t>Strong ability in design and implementation of knowledge sharing.</w:t>
      </w:r>
    </w:p>
    <w:p w14:paraId="6DEBF9EA"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US"/>
        </w:rPr>
        <w:t>Prior experience of organization of study trips.</w:t>
      </w:r>
    </w:p>
    <w:p w14:paraId="10DF7DBF" w14:textId="77777777" w:rsidR="008533DC" w:rsidRDefault="006774A7">
      <w:pPr>
        <w:numPr>
          <w:ilvl w:val="0"/>
          <w:numId w:val="1"/>
        </w:num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Strong experience in implementing participatory methodologies, especially with local communities.</w:t>
      </w:r>
    </w:p>
    <w:p w14:paraId="68E7C60D" w14:textId="77777777" w:rsidR="008533DC" w:rsidRDefault="008533DC">
      <w:pPr>
        <w:jc w:val="both"/>
        <w:rPr>
          <w:rFonts w:asciiTheme="minorHAnsi" w:hAnsiTheme="minorHAnsi" w:cstheme="minorHAnsi"/>
          <w:sz w:val="22"/>
          <w:szCs w:val="22"/>
          <w:lang w:val="en-US"/>
        </w:rPr>
      </w:pPr>
    </w:p>
    <w:p w14:paraId="1EA5CD5F" w14:textId="77777777" w:rsidR="008533DC" w:rsidRDefault="008533DC">
      <w:pPr>
        <w:rPr>
          <w:rFonts w:asciiTheme="minorHAnsi" w:hAnsiTheme="minorHAnsi" w:cstheme="minorHAnsi"/>
          <w:sz w:val="22"/>
          <w:szCs w:val="22"/>
          <w:lang w:val="en-US"/>
        </w:rPr>
      </w:pPr>
    </w:p>
    <w:p w14:paraId="59C47786" w14:textId="77777777" w:rsidR="008533DC" w:rsidRDefault="006774A7">
      <w:pPr>
        <w:numPr>
          <w:ilvl w:val="0"/>
          <w:numId w:val="2"/>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Practical information</w:t>
      </w:r>
    </w:p>
    <w:p w14:paraId="612A2A7E" w14:textId="77777777" w:rsidR="008533DC" w:rsidRDefault="008533DC">
      <w:pPr>
        <w:jc w:val="both"/>
        <w:rPr>
          <w:rFonts w:asciiTheme="minorHAnsi" w:hAnsiTheme="minorHAnsi" w:cstheme="minorHAnsi"/>
          <w:sz w:val="22"/>
          <w:szCs w:val="22"/>
        </w:rPr>
      </w:pPr>
    </w:p>
    <w:p w14:paraId="29AD034F" w14:textId="77777777" w:rsidR="008533DC" w:rsidRDefault="008533DC">
      <w:pPr>
        <w:jc w:val="both"/>
        <w:rPr>
          <w:rFonts w:asciiTheme="minorHAnsi" w:hAnsiTheme="minorHAnsi" w:cstheme="minorHAnsi"/>
          <w:sz w:val="22"/>
          <w:szCs w:val="22"/>
        </w:rPr>
      </w:pPr>
    </w:p>
    <w:p w14:paraId="6D64B7E0" w14:textId="77777777" w:rsidR="008533DC" w:rsidRDefault="006774A7">
      <w:pPr>
        <w:pStyle w:val="paragraph"/>
        <w:keepNext/>
        <w:numPr>
          <w:ilvl w:val="0"/>
          <w:numId w:val="17"/>
        </w:numPr>
        <w:spacing w:before="0" w:beforeAutospacing="0" w:after="0" w:afterAutospacing="0"/>
        <w:rPr>
          <w:rStyle w:val="eop"/>
          <w:rFonts w:asciiTheme="minorHAnsi" w:hAnsiTheme="minorHAnsi" w:cstheme="minorHAnsi"/>
          <w:sz w:val="22"/>
          <w:szCs w:val="22"/>
          <w:lang w:eastAsia="fr-FR"/>
        </w:rPr>
      </w:pPr>
      <w:r>
        <w:rPr>
          <w:rStyle w:val="eop"/>
          <w:rFonts w:asciiTheme="minorHAnsi" w:hAnsiTheme="minorHAnsi" w:cstheme="minorHAnsi"/>
          <w:sz w:val="22"/>
          <w:szCs w:val="22"/>
        </w:rPr>
        <w:t>All travels shall be borne by the service provider and be included as part of the financial proposal.</w:t>
      </w:r>
      <w:r>
        <w:rPr>
          <w:rFonts w:asciiTheme="minorHAnsi" w:hAnsiTheme="minorHAnsi" w:cstheme="minorHAnsi"/>
          <w:sz w:val="22"/>
          <w:szCs w:val="22"/>
        </w:rPr>
        <w:t xml:space="preserve"> </w:t>
      </w:r>
      <w:r>
        <w:rPr>
          <w:rStyle w:val="eop"/>
          <w:rFonts w:asciiTheme="minorHAnsi" w:hAnsiTheme="minorHAnsi" w:cstheme="minorHAnsi"/>
          <w:sz w:val="22"/>
          <w:szCs w:val="22"/>
        </w:rPr>
        <w:t>Experts remain solely responsible for organizing their own travel, accommodation, transport, insurance, communication and internet costs.</w:t>
      </w:r>
    </w:p>
    <w:p w14:paraId="4BEF05D5" w14:textId="77777777" w:rsidR="008533DC" w:rsidRDefault="006774A7">
      <w:pPr>
        <w:pStyle w:val="paragraph"/>
        <w:keepNext/>
        <w:numPr>
          <w:ilvl w:val="0"/>
          <w:numId w:val="17"/>
        </w:numPr>
        <w:spacing w:before="0" w:beforeAutospacing="0" w:after="0" w:afterAutospacing="0"/>
        <w:rPr>
          <w:rFonts w:asciiTheme="minorHAnsi" w:hAnsiTheme="minorHAnsi" w:cstheme="minorHAnsi"/>
          <w:sz w:val="22"/>
          <w:szCs w:val="22"/>
        </w:rPr>
      </w:pPr>
      <w:r>
        <w:rPr>
          <w:rStyle w:val="eop"/>
          <w:rFonts w:asciiTheme="minorHAnsi" w:hAnsiTheme="minorHAnsi" w:cstheme="minorHAnsi"/>
          <w:sz w:val="22"/>
          <w:szCs w:val="22"/>
        </w:rPr>
        <w:t>GFC will facilitate meetings with the local organizations and communities covered by the assignment.</w:t>
      </w:r>
    </w:p>
    <w:p w14:paraId="2BBFA727" w14:textId="77777777" w:rsidR="008533DC" w:rsidRDefault="006774A7">
      <w:pPr>
        <w:pStyle w:val="paragraph"/>
        <w:numPr>
          <w:ilvl w:val="0"/>
          <w:numId w:val="17"/>
        </w:numPr>
        <w:spacing w:before="0" w:beforeAutospacing="0" w:after="0" w:afterAutospacing="0"/>
        <w:rPr>
          <w:rStyle w:val="eop"/>
          <w:rFonts w:asciiTheme="minorHAnsi" w:hAnsiTheme="minorHAnsi" w:cstheme="minorHAnsi"/>
          <w:sz w:val="22"/>
          <w:szCs w:val="22"/>
        </w:rPr>
      </w:pPr>
      <w:r>
        <w:rPr>
          <w:rStyle w:val="eop"/>
          <w:rFonts w:asciiTheme="minorHAnsi" w:hAnsiTheme="minorHAnsi" w:cstheme="minorHAnsi"/>
          <w:sz w:val="22"/>
          <w:szCs w:val="22"/>
        </w:rPr>
        <w:t>GFC will arrange the following during field missions: meeting room; internet.</w:t>
      </w:r>
    </w:p>
    <w:p w14:paraId="727C56C9" w14:textId="77777777" w:rsidR="008533DC" w:rsidRDefault="006774A7">
      <w:pPr>
        <w:pStyle w:val="paragraph"/>
        <w:numPr>
          <w:ilvl w:val="0"/>
          <w:numId w:val="17"/>
        </w:numPr>
        <w:jc w:val="both"/>
        <w:rPr>
          <w:rFonts w:asciiTheme="minorHAnsi" w:hAnsiTheme="minorHAnsi" w:cstheme="minorHAnsi"/>
          <w:sz w:val="22"/>
          <w:szCs w:val="22"/>
          <w:lang w:val="en-GB"/>
        </w:rPr>
      </w:pPr>
      <w:r>
        <w:rPr>
          <w:rStyle w:val="normaltextrun"/>
          <w:rFonts w:asciiTheme="minorHAnsi" w:hAnsiTheme="minorHAnsi" w:cstheme="minorHAnsi"/>
          <w:sz w:val="22"/>
          <w:szCs w:val="22"/>
          <w:shd w:val="clear" w:color="auto" w:fill="FFFFFF"/>
        </w:rPr>
        <w:t>During the implementation of the assignment, the visibility of the European Union as donor of the Euroclima Programme must be ensured, in accordance with the Euroclima Programme's rules on communication and visibility, which take into account the European Union's requirements for communication and visibility:</w:t>
      </w:r>
      <w:r>
        <w:rPr>
          <w:rFonts w:asciiTheme="minorHAnsi" w:hAnsiTheme="minorHAnsi" w:cstheme="minorHAnsi"/>
          <w:sz w:val="22"/>
          <w:szCs w:val="22"/>
        </w:rPr>
        <w:t xml:space="preserve"> </w:t>
      </w:r>
      <w:hyperlink r:id="rId12" w:tooltip="https://international-partnerships.ec.europa.eu/knowledge-hub/communicating-and-raising-eu-visibility-guidance-external-actions_en" w:history="1">
        <w:r>
          <w:rPr>
            <w:rStyle w:val="Lienhypertexte"/>
            <w:rFonts w:asciiTheme="minorHAnsi" w:hAnsiTheme="minorHAnsi" w:cstheme="minorHAnsi"/>
            <w:sz w:val="22"/>
            <w:szCs w:val="22"/>
            <w:shd w:val="clear" w:color="auto" w:fill="FFFFFF"/>
          </w:rPr>
          <w:t>https://international-partnerships.ec.europa.eu/knowledge-hub/communicating-and-raising-eu-visibility-guidance-external-actions_en</w:t>
        </w:r>
      </w:hyperlink>
      <w:r>
        <w:rPr>
          <w:rStyle w:val="normaltextrun"/>
          <w:rFonts w:asciiTheme="minorHAnsi" w:hAnsiTheme="minorHAnsi" w:cstheme="minorHAnsi"/>
          <w:sz w:val="22"/>
          <w:szCs w:val="22"/>
          <w:shd w:val="clear" w:color="auto" w:fill="FFFFFF"/>
        </w:rPr>
        <w:t xml:space="preserve">. </w:t>
      </w:r>
      <w:r>
        <w:rPr>
          <w:rStyle w:val="eop"/>
          <w:rFonts w:asciiTheme="minorHAnsi" w:hAnsiTheme="minorHAnsi" w:cstheme="minorHAnsi"/>
          <w:sz w:val="22"/>
          <w:szCs w:val="22"/>
          <w:shd w:val="clear" w:color="auto" w:fill="FFFFFF"/>
        </w:rPr>
        <w:t>All reports and deliverables must include the emblem of the European Union (with the words "Financed by the European Union"), the logos of the Euroclima Programme and Expertise France, as well as the following "standard" disclaimer: “This publication has been produced with the financial support of the European Union. The contents are the sole responsibility of &lt;name of author/partner&gt; and do not necessarily reflect the views of the European Union"</w:t>
      </w:r>
    </w:p>
    <w:p w14:paraId="271A5222" w14:textId="77777777" w:rsidR="008533DC" w:rsidRDefault="008533DC">
      <w:pPr>
        <w:jc w:val="both"/>
        <w:rPr>
          <w:rFonts w:asciiTheme="minorHAnsi" w:hAnsiTheme="minorHAnsi" w:cstheme="minorHAnsi"/>
          <w:sz w:val="22"/>
          <w:szCs w:val="22"/>
          <w:lang w:val="en-GB"/>
        </w:rPr>
      </w:pPr>
    </w:p>
    <w:sectPr w:rsidR="008533DC">
      <w:headerReference w:type="even" r:id="rId13"/>
      <w:headerReference w:type="default" r:id="rId14"/>
      <w:footerReference w:type="even" r:id="rId15"/>
      <w:footerReference w:type="default" r:id="rId16"/>
      <w:headerReference w:type="first" r:id="rId17"/>
      <w:footerReference w:type="first" r:id="rId18"/>
      <w:pgSz w:w="11906" w:h="16838"/>
      <w:pgMar w:top="1977" w:right="1417" w:bottom="1417" w:left="1417" w:header="708" w:footer="480"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04475" w14:textId="77777777" w:rsidR="0044446F" w:rsidRDefault="0044446F">
      <w:r>
        <w:separator/>
      </w:r>
    </w:p>
  </w:endnote>
  <w:endnote w:type="continuationSeparator" w:id="0">
    <w:p w14:paraId="3598388C" w14:textId="77777777" w:rsidR="0044446F" w:rsidRDefault="0044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Times">
    <w:panose1 w:val="020206030504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2E260" w14:textId="77777777" w:rsidR="008533DC" w:rsidRDefault="006774A7">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1833584A" w14:textId="77777777" w:rsidR="008533DC" w:rsidRDefault="008533DC">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86D44" w14:textId="77777777" w:rsidR="008533DC" w:rsidRDefault="006774A7">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3D04796F" w14:textId="083A2EE2" w:rsidR="008533DC" w:rsidRDefault="0044446F">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Page Numbers (Top of Page)"/>
          <w:docPartUnique/>
        </w:docPartObj>
      </w:sdtPr>
      <w:sdtEndPr/>
      <w:sdtContent>
        <w:r w:rsidR="006774A7">
          <w:rPr>
            <w:rFonts w:asciiTheme="minorHAnsi" w:hAnsiTheme="minorHAnsi"/>
            <w:sz w:val="22"/>
            <w:szCs w:val="22"/>
          </w:rPr>
          <w:tab/>
          <w:t xml:space="preserve">Page </w:t>
        </w:r>
        <w:r w:rsidR="006774A7">
          <w:rPr>
            <w:rFonts w:asciiTheme="minorHAnsi" w:hAnsiTheme="minorHAnsi"/>
            <w:b/>
            <w:bCs/>
            <w:sz w:val="22"/>
            <w:szCs w:val="22"/>
          </w:rPr>
          <w:fldChar w:fldCharType="begin"/>
        </w:r>
        <w:r w:rsidR="006774A7">
          <w:rPr>
            <w:rFonts w:asciiTheme="minorHAnsi" w:hAnsiTheme="minorHAnsi"/>
            <w:b/>
            <w:bCs/>
            <w:sz w:val="22"/>
            <w:szCs w:val="22"/>
          </w:rPr>
          <w:instrText>PAGE</w:instrText>
        </w:r>
        <w:r w:rsidR="006774A7">
          <w:rPr>
            <w:rFonts w:asciiTheme="minorHAnsi" w:hAnsiTheme="minorHAnsi"/>
            <w:b/>
            <w:bCs/>
            <w:sz w:val="22"/>
            <w:szCs w:val="22"/>
          </w:rPr>
          <w:fldChar w:fldCharType="separate"/>
        </w:r>
        <w:r w:rsidR="00C32F3C">
          <w:rPr>
            <w:rFonts w:asciiTheme="minorHAnsi" w:hAnsiTheme="minorHAnsi"/>
            <w:b/>
            <w:bCs/>
            <w:noProof/>
            <w:sz w:val="22"/>
            <w:szCs w:val="22"/>
          </w:rPr>
          <w:t>9</w:t>
        </w:r>
        <w:r w:rsidR="006774A7">
          <w:rPr>
            <w:rFonts w:asciiTheme="minorHAnsi" w:hAnsiTheme="minorHAnsi"/>
            <w:b/>
            <w:bCs/>
            <w:sz w:val="22"/>
            <w:szCs w:val="22"/>
          </w:rPr>
          <w:fldChar w:fldCharType="end"/>
        </w:r>
        <w:r w:rsidR="006774A7">
          <w:rPr>
            <w:rFonts w:asciiTheme="minorHAnsi" w:hAnsiTheme="minorHAnsi"/>
            <w:sz w:val="22"/>
            <w:szCs w:val="22"/>
          </w:rPr>
          <w:t xml:space="preserve"> sur </w:t>
        </w:r>
        <w:r w:rsidR="006774A7">
          <w:rPr>
            <w:rFonts w:asciiTheme="minorHAnsi" w:hAnsiTheme="minorHAnsi"/>
            <w:b/>
            <w:bCs/>
            <w:sz w:val="22"/>
            <w:szCs w:val="22"/>
          </w:rPr>
          <w:fldChar w:fldCharType="begin"/>
        </w:r>
        <w:r w:rsidR="006774A7">
          <w:rPr>
            <w:rFonts w:asciiTheme="minorHAnsi" w:hAnsiTheme="minorHAnsi"/>
            <w:b/>
            <w:bCs/>
            <w:sz w:val="22"/>
            <w:szCs w:val="22"/>
          </w:rPr>
          <w:instrText>NUMPAGES</w:instrText>
        </w:r>
        <w:r w:rsidR="006774A7">
          <w:rPr>
            <w:rFonts w:asciiTheme="minorHAnsi" w:hAnsiTheme="minorHAnsi"/>
            <w:b/>
            <w:bCs/>
            <w:sz w:val="22"/>
            <w:szCs w:val="22"/>
          </w:rPr>
          <w:fldChar w:fldCharType="separate"/>
        </w:r>
        <w:r w:rsidR="00C32F3C">
          <w:rPr>
            <w:rFonts w:asciiTheme="minorHAnsi" w:hAnsiTheme="minorHAnsi"/>
            <w:b/>
            <w:bCs/>
            <w:noProof/>
            <w:sz w:val="22"/>
            <w:szCs w:val="22"/>
          </w:rPr>
          <w:t>9</w:t>
        </w:r>
        <w:r w:rsidR="006774A7">
          <w:rPr>
            <w:rFonts w:asciiTheme="minorHAnsi" w:hAnsiTheme="minorHAnsi"/>
            <w:b/>
            <w:bCs/>
            <w:sz w:val="22"/>
            <w:szCs w:val="22"/>
          </w:rPr>
          <w:fldChar w:fldCharType="end"/>
        </w:r>
      </w:sdtContent>
    </w:sdt>
  </w:p>
  <w:p w14:paraId="6FB365D9" w14:textId="77777777" w:rsidR="008533DC" w:rsidRDefault="008533DC">
    <w:pPr>
      <w:pStyle w:val="Pieddepage"/>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3402F929" w14:textId="77777777" w:rsidR="008533DC" w:rsidRDefault="006774A7">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711D6A37" w14:textId="03EAC6F3" w:rsidR="008533DC" w:rsidRDefault="0044446F">
            <w:pPr>
              <w:pStyle w:val="Pieddepage"/>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sdtContent>
                <w:r w:rsidR="006774A7">
                  <w:rPr>
                    <w:rFonts w:asciiTheme="minorHAnsi" w:hAnsiTheme="minorHAnsi" w:cstheme="minorHAnsi"/>
                    <w:sz w:val="22"/>
                    <w:szCs w:val="22"/>
                    <w:lang w:val="en-US"/>
                  </w:rPr>
                  <w:t>DAJ_M003ENG_v01</w:t>
                </w:r>
                <w:r w:rsidR="006774A7">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b/>
                          <w:sz w:val="22"/>
                        </w:rPr>
                        <w:id w:val="-1769616900"/>
                        <w:docPartObj>
                          <w:docPartGallery w:val="Page Numbers (Top of Page)"/>
                          <w:docPartUnique/>
                        </w:docPartObj>
                      </w:sdtPr>
                      <w:sdtEndPr/>
                      <w:sdtContent>
                        <w:r w:rsidR="006774A7">
                          <w:rPr>
                            <w:rFonts w:asciiTheme="minorHAnsi" w:hAnsiTheme="minorHAnsi"/>
                            <w:b/>
                            <w:sz w:val="22"/>
                            <w:lang w:val="en"/>
                          </w:rPr>
                          <w:t xml:space="preserve">Page </w:t>
                        </w:r>
                        <w:r w:rsidR="006774A7">
                          <w:rPr>
                            <w:rFonts w:asciiTheme="minorHAnsi" w:hAnsiTheme="minorHAnsi"/>
                            <w:b/>
                            <w:sz w:val="22"/>
                            <w:lang w:val="en"/>
                          </w:rPr>
                          <w:fldChar w:fldCharType="begin"/>
                        </w:r>
                        <w:r w:rsidR="006774A7">
                          <w:rPr>
                            <w:rFonts w:asciiTheme="minorHAnsi" w:hAnsiTheme="minorHAnsi"/>
                            <w:b/>
                            <w:sz w:val="22"/>
                            <w:lang w:val="en"/>
                          </w:rPr>
                          <w:instrText>PAGE</w:instrText>
                        </w:r>
                        <w:r w:rsidR="006774A7">
                          <w:rPr>
                            <w:rFonts w:asciiTheme="minorHAnsi" w:hAnsiTheme="minorHAnsi"/>
                            <w:b/>
                            <w:sz w:val="22"/>
                            <w:lang w:val="en"/>
                          </w:rPr>
                          <w:fldChar w:fldCharType="separate"/>
                        </w:r>
                        <w:r w:rsidR="00C32F3C">
                          <w:rPr>
                            <w:rFonts w:asciiTheme="minorHAnsi" w:hAnsiTheme="minorHAnsi"/>
                            <w:b/>
                            <w:noProof/>
                            <w:sz w:val="22"/>
                            <w:lang w:val="en"/>
                          </w:rPr>
                          <w:t>1</w:t>
                        </w:r>
                        <w:r w:rsidR="006774A7">
                          <w:rPr>
                            <w:rFonts w:asciiTheme="minorHAnsi" w:hAnsiTheme="minorHAnsi"/>
                            <w:b/>
                            <w:sz w:val="22"/>
                            <w:lang w:val="en"/>
                          </w:rPr>
                          <w:fldChar w:fldCharType="end"/>
                        </w:r>
                        <w:r w:rsidR="006774A7">
                          <w:rPr>
                            <w:rFonts w:asciiTheme="minorHAnsi" w:hAnsiTheme="minorHAnsi"/>
                            <w:b/>
                            <w:sz w:val="22"/>
                            <w:lang w:val="en"/>
                          </w:rPr>
                          <w:t xml:space="preserve"> of </w:t>
                        </w:r>
                        <w:r w:rsidR="006774A7">
                          <w:rPr>
                            <w:rFonts w:asciiTheme="minorHAnsi" w:hAnsiTheme="minorHAnsi"/>
                            <w:b/>
                            <w:sz w:val="22"/>
                            <w:lang w:val="en"/>
                          </w:rPr>
                          <w:fldChar w:fldCharType="begin"/>
                        </w:r>
                        <w:r w:rsidR="006774A7">
                          <w:rPr>
                            <w:rFonts w:asciiTheme="minorHAnsi" w:hAnsiTheme="minorHAnsi"/>
                            <w:b/>
                            <w:sz w:val="22"/>
                            <w:lang w:val="en"/>
                          </w:rPr>
                          <w:instrText>NUMPAGES</w:instrText>
                        </w:r>
                        <w:r w:rsidR="006774A7">
                          <w:rPr>
                            <w:rFonts w:asciiTheme="minorHAnsi" w:hAnsiTheme="minorHAnsi"/>
                            <w:b/>
                            <w:sz w:val="22"/>
                            <w:lang w:val="en"/>
                          </w:rPr>
                          <w:fldChar w:fldCharType="separate"/>
                        </w:r>
                        <w:r w:rsidR="00C32F3C">
                          <w:rPr>
                            <w:rFonts w:asciiTheme="minorHAnsi" w:hAnsiTheme="minorHAnsi"/>
                            <w:b/>
                            <w:noProof/>
                            <w:sz w:val="22"/>
                            <w:lang w:val="en"/>
                          </w:rPr>
                          <w:t>9</w:t>
                        </w:r>
                        <w:r w:rsidR="006774A7">
                          <w:rPr>
                            <w:rFonts w:asciiTheme="minorHAnsi" w:hAnsiTheme="minorHAnsi"/>
                            <w:b/>
                            <w:sz w:val="22"/>
                            <w:lang w:val="en"/>
                          </w:rPr>
                          <w:fldChar w:fldCharType="end"/>
                        </w:r>
                      </w:sdtContent>
                    </w:sdt>
                  </w:sdtContent>
                </w:sdt>
              </w:sdtContent>
            </w:sdt>
          </w:p>
          <w:p w14:paraId="1080C0E6" w14:textId="77777777" w:rsidR="008533DC" w:rsidRDefault="006774A7">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May 2021</w:t>
            </w:r>
          </w:p>
          <w:p w14:paraId="3674EBA1" w14:textId="77777777" w:rsidR="008533DC" w:rsidRDefault="008533DC">
            <w:pPr>
              <w:pStyle w:val="Pieddepage"/>
              <w:spacing w:line="240" w:lineRule="exact"/>
              <w:rPr>
                <w:rFonts w:asciiTheme="minorHAnsi" w:hAnsiTheme="minorHAnsi" w:cstheme="minorHAnsi"/>
                <w:b/>
                <w:sz w:val="22"/>
                <w:szCs w:val="22"/>
              </w:rPr>
            </w:pPr>
          </w:p>
          <w:p w14:paraId="3E80628B" w14:textId="77777777" w:rsidR="008533DC" w:rsidRDefault="006774A7">
            <w:pPr>
              <w:pStyle w:val="Pieddepage"/>
              <w:tabs>
                <w:tab w:val="clear" w:pos="4536"/>
                <w:tab w:val="clear" w:pos="9072"/>
                <w:tab w:val="right" w:pos="9746"/>
              </w:tabs>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0C38A" w14:textId="77777777" w:rsidR="0044446F" w:rsidRDefault="0044446F">
      <w:r>
        <w:separator/>
      </w:r>
    </w:p>
  </w:footnote>
  <w:footnote w:type="continuationSeparator" w:id="0">
    <w:p w14:paraId="0E411756" w14:textId="77777777" w:rsidR="0044446F" w:rsidRDefault="0044446F">
      <w:r>
        <w:continuationSeparator/>
      </w:r>
    </w:p>
  </w:footnote>
  <w:footnote w:id="1">
    <w:p w14:paraId="7B150B4F" w14:textId="77777777" w:rsidR="008533DC" w:rsidRDefault="006774A7">
      <w:pPr>
        <w:pStyle w:val="Notedebasdepage"/>
        <w:rPr>
          <w:rFonts w:asciiTheme="minorHAnsi" w:hAnsiTheme="minorHAnsi" w:cstheme="minorHAnsi"/>
          <w:sz w:val="16"/>
          <w:szCs w:val="16"/>
          <w:lang w:val="en-US"/>
        </w:rPr>
      </w:pPr>
      <w:r>
        <w:rPr>
          <w:rStyle w:val="Appelnotedebasdep"/>
          <w:rFonts w:asciiTheme="minorHAnsi" w:eastAsiaTheme="majorEastAsia" w:hAnsiTheme="minorHAnsi" w:cstheme="minorHAnsi"/>
          <w:sz w:val="16"/>
          <w:szCs w:val="16"/>
        </w:rPr>
        <w:footnoteRef/>
      </w:r>
      <w:r>
        <w:rPr>
          <w:rFonts w:asciiTheme="minorHAnsi" w:hAnsiTheme="minorHAnsi" w:cstheme="minorHAnsi"/>
          <w:sz w:val="16"/>
          <w:szCs w:val="16"/>
          <w:lang w:val="en-US"/>
        </w:rPr>
        <w:t xml:space="preserve"> </w:t>
      </w:r>
      <w:hyperlink r:id="rId1" w:tooltip="https://wwfint.awsassets.panda.org/downloads/deforestation_fronts_factsheet___venezuela_and_guyana.pdf" w:history="1">
        <w:r>
          <w:rPr>
            <w:rStyle w:val="Lienhypertexte"/>
            <w:rFonts w:asciiTheme="minorHAnsi" w:hAnsiTheme="minorHAnsi" w:cstheme="minorHAnsi"/>
            <w:sz w:val="16"/>
            <w:szCs w:val="16"/>
            <w:lang w:val="en-GB"/>
          </w:rPr>
          <w:t>deforestation_fronts_factsheet___venezuela_and_guyana.pdf (panda.org)</w:t>
        </w:r>
      </w:hyperlink>
    </w:p>
  </w:footnote>
  <w:footnote w:id="2">
    <w:p w14:paraId="715FDAFF" w14:textId="77777777" w:rsidR="008533DC" w:rsidRDefault="006774A7">
      <w:pPr>
        <w:pStyle w:val="Notedebasdepage"/>
        <w:rPr>
          <w:rFonts w:asciiTheme="minorHAnsi" w:hAnsiTheme="minorHAnsi" w:cstheme="minorHAnsi"/>
          <w:sz w:val="16"/>
          <w:szCs w:val="16"/>
          <w:lang w:val="en-US"/>
        </w:rPr>
      </w:pPr>
      <w:r>
        <w:rPr>
          <w:rStyle w:val="Appelnotedebasdep"/>
          <w:rFonts w:asciiTheme="minorHAnsi" w:eastAsiaTheme="majorEastAsia" w:hAnsiTheme="minorHAnsi" w:cstheme="minorHAnsi"/>
          <w:sz w:val="16"/>
          <w:szCs w:val="16"/>
          <w:lang w:val="en-GB"/>
        </w:rPr>
        <w:footnoteRef/>
      </w:r>
      <w:r>
        <w:rPr>
          <w:rFonts w:asciiTheme="minorHAnsi" w:hAnsiTheme="minorHAnsi" w:cstheme="minorHAnsi"/>
          <w:sz w:val="16"/>
          <w:szCs w:val="16"/>
          <w:lang w:val="en-GB"/>
        </w:rPr>
        <w:t xml:space="preserve"> </w:t>
      </w:r>
      <w:hyperlink r:id="rId2" w:tooltip="https://www.wwf.fr/sites/default/files/doc-2022-11/Gold%20mining%20impact%20on%20forest%20%26%20freshwater%20of%20the%20Guiana%20Shield%20-%20ECOSEO%20Project.pdf" w:history="1">
        <w:r>
          <w:rPr>
            <w:rStyle w:val="Lienhypertexte"/>
            <w:rFonts w:asciiTheme="minorHAnsi" w:hAnsiTheme="minorHAnsi" w:cstheme="minorHAnsi"/>
            <w:sz w:val="16"/>
            <w:szCs w:val="16"/>
            <w:lang w:val="en-GB"/>
          </w:rPr>
          <w:t>Gold mining impact on forest &amp; freshwater of the Guiana Shield - ECOSEO Project.pdf (wwf.fr)</w:t>
        </w:r>
      </w:hyperlink>
    </w:p>
  </w:footnote>
  <w:footnote w:id="3">
    <w:p w14:paraId="0561536A" w14:textId="77777777" w:rsidR="008533DC" w:rsidRDefault="006774A7">
      <w:pPr>
        <w:pStyle w:val="Notedebasdepage"/>
        <w:rPr>
          <w:rFonts w:asciiTheme="minorHAnsi" w:hAnsiTheme="minorHAnsi" w:cstheme="minorHAnsi"/>
          <w:sz w:val="16"/>
          <w:szCs w:val="16"/>
          <w:lang w:val="en-US"/>
        </w:rPr>
      </w:pPr>
      <w:r>
        <w:rPr>
          <w:rStyle w:val="Appelnotedebasdep"/>
          <w:rFonts w:asciiTheme="minorHAnsi" w:eastAsiaTheme="majorEastAsia" w:hAnsiTheme="minorHAnsi" w:cstheme="minorHAnsi"/>
          <w:sz w:val="16"/>
          <w:szCs w:val="16"/>
          <w:lang w:val="en-GB"/>
        </w:rPr>
        <w:footnoteRef/>
      </w:r>
      <w:r>
        <w:rPr>
          <w:rFonts w:asciiTheme="minorHAnsi" w:hAnsiTheme="minorHAnsi" w:cstheme="minorHAnsi"/>
          <w:sz w:val="16"/>
          <w:szCs w:val="16"/>
          <w:lang w:val="en-GB"/>
        </w:rPr>
        <w:t xml:space="preserve"> Bureau of statistics: </w:t>
      </w:r>
      <w:hyperlink r:id="rId3" w:tooltip="https://statisticsguyana.gov.gy/subjects/national-accounts-and-production/contribution-gross-domestic-product-guyana-2012-to-2021/" w:history="1">
        <w:r>
          <w:rPr>
            <w:rStyle w:val="Lienhypertexte"/>
            <w:rFonts w:asciiTheme="minorHAnsi" w:hAnsiTheme="minorHAnsi" w:cstheme="minorHAnsi"/>
            <w:sz w:val="16"/>
            <w:szCs w:val="16"/>
            <w:lang w:val="en-GB"/>
          </w:rPr>
          <w:t>Contribution Gross Domestic Product, Guyana: 2012 to 2022 - Bureau of Statistics (statisticsguyana.gov.gy)</w:t>
        </w:r>
      </w:hyperlink>
    </w:p>
  </w:footnote>
  <w:footnote w:id="4">
    <w:p w14:paraId="01C9B6D8" w14:textId="77777777" w:rsidR="008533DC" w:rsidRDefault="006774A7">
      <w:pPr>
        <w:pStyle w:val="Notedebasdepage"/>
        <w:rPr>
          <w:rFonts w:asciiTheme="minorHAnsi" w:hAnsiTheme="minorHAnsi" w:cstheme="minorHAnsi"/>
          <w:sz w:val="16"/>
          <w:szCs w:val="16"/>
          <w:lang w:val="en-US"/>
        </w:rPr>
      </w:pPr>
      <w:r>
        <w:rPr>
          <w:rStyle w:val="Appelnotedebasdep"/>
          <w:rFonts w:asciiTheme="minorHAnsi" w:eastAsiaTheme="majorEastAsia" w:hAnsiTheme="minorHAnsi" w:cstheme="minorHAnsi"/>
          <w:sz w:val="16"/>
          <w:szCs w:val="16"/>
        </w:rPr>
        <w:footnoteRef/>
      </w:r>
      <w:r>
        <w:rPr>
          <w:rFonts w:asciiTheme="minorHAnsi" w:hAnsiTheme="minorHAnsi" w:cstheme="minorHAnsi"/>
          <w:sz w:val="16"/>
          <w:szCs w:val="16"/>
          <w:lang w:val="en-US"/>
        </w:rPr>
        <w:t xml:space="preserve"> </w:t>
      </w:r>
      <w:hyperlink r:id="rId4" w:tooltip="file:///C:\Users\julie.grunner\Downloads\Code%20of%20Practice%20-%20Mine%20Reclamation.pdf" w:history="1">
        <w:r>
          <w:rPr>
            <w:rStyle w:val="Lienhypertexte"/>
            <w:rFonts w:asciiTheme="minorHAnsi" w:hAnsiTheme="minorHAnsi" w:cstheme="minorHAnsi"/>
            <w:sz w:val="16"/>
            <w:szCs w:val="16"/>
            <w:lang w:val="en-US"/>
          </w:rPr>
          <w:t>Code of Practice - Mine Reclamation.pdf</w:t>
        </w:r>
      </w:hyperlink>
    </w:p>
  </w:footnote>
  <w:footnote w:id="5">
    <w:p w14:paraId="32782BD3" w14:textId="77777777" w:rsidR="008533DC" w:rsidRDefault="006774A7">
      <w:pPr>
        <w:pStyle w:val="Notedebasdepage"/>
        <w:rPr>
          <w:lang w:val="en-US"/>
        </w:rPr>
      </w:pPr>
      <w:r>
        <w:rPr>
          <w:rStyle w:val="Appelnotedebasdep"/>
          <w:rFonts w:asciiTheme="minorHAnsi" w:eastAsiaTheme="majorEastAsia" w:hAnsiTheme="minorHAnsi" w:cstheme="minorHAnsi"/>
          <w:sz w:val="16"/>
          <w:szCs w:val="16"/>
        </w:rPr>
        <w:footnoteRef/>
      </w:r>
      <w:r>
        <w:rPr>
          <w:rFonts w:asciiTheme="minorHAnsi" w:hAnsiTheme="minorHAnsi" w:cstheme="minorHAnsi"/>
          <w:sz w:val="16"/>
          <w:szCs w:val="16"/>
          <w:lang w:val="en-US"/>
        </w:rPr>
        <w:t xml:space="preserve"> </w:t>
      </w:r>
      <w:hyperlink r:id="rId5" w:tooltip="https://lcds.gov.gy/wp-content/uploads/2022/08/Guyanas-Low-Carbon-Development-Strategy-2030.pdf" w:history="1">
        <w:r>
          <w:rPr>
            <w:rStyle w:val="Lienhypertexte"/>
            <w:rFonts w:asciiTheme="minorHAnsi" w:hAnsiTheme="minorHAnsi" w:cstheme="minorHAnsi"/>
            <w:sz w:val="16"/>
            <w:szCs w:val="16"/>
            <w:lang w:val="en-US"/>
          </w:rPr>
          <w:t>Guyanas-Low-Carbon-Development-Strategy-2030.pdf (lcds.gov.gy)</w:t>
        </w:r>
      </w:hyperlink>
    </w:p>
  </w:footnote>
  <w:footnote w:id="6">
    <w:p w14:paraId="47360FB3" w14:textId="77777777" w:rsidR="008533DC" w:rsidRDefault="006774A7">
      <w:pPr>
        <w:pStyle w:val="Notedebasdepage"/>
        <w:rPr>
          <w:rFonts w:ascii="Calibri" w:hAnsi="Calibri" w:cs="Calibri"/>
          <w:sz w:val="16"/>
          <w:szCs w:val="16"/>
          <w:lang w:val="en-GB"/>
        </w:rPr>
      </w:pPr>
      <w:r>
        <w:rPr>
          <w:rStyle w:val="Appelnotedebasdep"/>
          <w:lang w:val="en-GB"/>
        </w:rPr>
        <w:footnoteRef/>
      </w:r>
      <w:r>
        <w:rPr>
          <w:lang w:val="en-GB"/>
        </w:rPr>
        <w:t xml:space="preserve"> </w:t>
      </w:r>
      <w:r>
        <w:rPr>
          <w:rFonts w:ascii="Calibri" w:hAnsi="Calibri" w:cs="Calibri"/>
          <w:sz w:val="16"/>
          <w:szCs w:val="16"/>
          <w:lang w:val="en-GB"/>
        </w:rPr>
        <w:t xml:space="preserve">Sources: GFC Forest Resources Management Division: Concept note “Piloting native bamboo plantation forests for sustainable livelihood-based forest restoration”; </w:t>
      </w:r>
      <w:r>
        <w:rPr>
          <w:rFonts w:ascii="Calibri" w:eastAsia="Arial" w:hAnsi="Calibri" w:cs="Calibri"/>
          <w:sz w:val="16"/>
          <w:szCs w:val="16"/>
          <w:lang w:val="en-GB"/>
        </w:rPr>
        <w:t>Country Dialogue between the Co-operative Republic of Guyana and the Euroclima Programme: Country context analysis</w:t>
      </w:r>
    </w:p>
  </w:footnote>
  <w:footnote w:id="7">
    <w:p w14:paraId="000532E7" w14:textId="77777777" w:rsidR="008533DC" w:rsidRDefault="006774A7">
      <w:pPr>
        <w:pStyle w:val="Notedebasdepage"/>
        <w:rPr>
          <w:lang w:val="en-US"/>
        </w:rPr>
      </w:pPr>
      <w:r>
        <w:rPr>
          <w:rStyle w:val="Appelnotedebasdep"/>
        </w:rPr>
        <w:footnoteRef/>
      </w:r>
      <w:r>
        <w:rPr>
          <w:lang w:val="en-US"/>
        </w:rPr>
        <w:t xml:space="preserve"> </w:t>
      </w:r>
      <w:hyperlink r:id="rId6" w:tooltip="https://www.inbar.int/" w:history="1">
        <w:r>
          <w:rPr>
            <w:rStyle w:val="Lienhypertexte"/>
            <w:lang w:val="en-US"/>
          </w:rPr>
          <w:t>International Bamboo and Rattan Organization | Bamboo &amp; Rattan for inclusive and green development</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D5D44" w14:textId="77777777" w:rsidR="008533DC" w:rsidRDefault="006774A7">
    <w:pPr>
      <w:pStyle w:val="En-tte"/>
    </w:pPr>
    <w:r>
      <w:rPr>
        <w:noProof/>
      </w:rPr>
      <mc:AlternateContent>
        <mc:Choice Requires="wpg">
          <w:drawing>
            <wp:anchor distT="0" distB="0" distL="114300" distR="114300" simplePos="0" relativeHeight="251657216" behindDoc="1" locked="0" layoutInCell="0" allowOverlap="1" wp14:anchorId="7A5F232E" wp14:editId="2ED582BD">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anchor distT="0" distB="0" distL="114300" distR="114300" simplePos="0" relativeHeight="251658240" behindDoc="1" locked="0" layoutInCell="0" allowOverlap="1" wp14:anchorId="50055D35" wp14:editId="78D59E35">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icPr>
                    <pic:blipFill>
                      <a:blip r:embed="rId1"/>
                      <a:stretch/>
                    </pic:blipFill>
                    <pic:spPr bwMode="auto">
                      <a:xfrm>
                        <a:off x="0" y="0"/>
                        <a:ext cx="10706100" cy="10693400"/>
                      </a:xfrm>
                      <a:prstGeom prst="rect">
                        <a:avLst/>
                      </a:prstGeom>
                      <a:noFill/>
                      <a:ln>
                        <a:noFill/>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
              <v:imagedata r:id="rId3" o:title=""/>
              <o:lock v:ext="edit" rotation="t"/>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01C6D" w14:textId="77777777" w:rsidR="008533DC" w:rsidRDefault="008533DC">
    <w:pPr>
      <w:pStyle w:val="En-tte"/>
      <w:rPr>
        <w:rFonts w:ascii="Calibri" w:hAnsi="Calibri" w:cs="Arial"/>
      </w:rPr>
    </w:pPr>
  </w:p>
  <w:p w14:paraId="76BF74E9" w14:textId="77777777" w:rsidR="008533DC" w:rsidRDefault="006774A7">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Terms of reference / specifications</w:t>
    </w:r>
  </w:p>
  <w:p w14:paraId="29F4FD64" w14:textId="77777777" w:rsidR="008533DC" w:rsidRDefault="006774A7">
    <w:pPr>
      <w:pStyle w:val="En-tte"/>
      <w:tabs>
        <w:tab w:val="clear" w:pos="4536"/>
        <w:tab w:val="clear" w:pos="9072"/>
        <w:tab w:val="right" w:pos="9781"/>
      </w:tabs>
      <w:rPr>
        <w:rFonts w:ascii="Calibri" w:hAnsi="Calibri" w:cs="Arial"/>
        <w:sz w:val="18"/>
        <w:u w:val="single"/>
      </w:rPr>
    </w:pPr>
    <w:r>
      <w:rPr>
        <w:u w:val="single"/>
        <w:lang w:val="en"/>
      </w:rPr>
      <w:tab/>
    </w:r>
  </w:p>
  <w:p w14:paraId="36A9AACA" w14:textId="77777777" w:rsidR="008533DC" w:rsidRDefault="008533DC">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5" w:name="_Hlk62125806"/>
  <w:bookmarkStart w:id="6" w:name="_Hlk62125807"/>
  <w:p w14:paraId="3911F370" w14:textId="77777777" w:rsidR="008533DC" w:rsidRDefault="006774A7">
    <w:pPr>
      <w:pStyle w:val="En-tte"/>
    </w:pPr>
    <w:r>
      <w:rPr>
        <w:noProof/>
      </w:rPr>
      <mc:AlternateContent>
        <mc:Choice Requires="wpg">
          <w:drawing>
            <wp:inline distT="0" distB="0" distL="0" distR="0" wp14:anchorId="36233CEF" wp14:editId="00E56309">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rcRect l="10815" t="17177" r="11039" b="15858"/>
                      <a:stretch/>
                    </pic:blipFill>
                    <pic:spPr bwMode="auto">
                      <a:xfrm>
                        <a:off x="0" y="0"/>
                        <a:ext cx="2124000" cy="111600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2" o:title="" croptop="11257f" cropleft="7088f" cropbottom="10393f" cropright="7235f"/>
              <o:lock v:ext="edit" rotation="t"/>
            </v:shape>
          </w:pict>
        </mc:Fallback>
      </mc:AlternateContent>
    </w:r>
    <w:bookmarkEnd w:id="5"/>
    <w:bookmarkEnd w:id="6"/>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0C3"/>
    <w:multiLevelType w:val="multilevel"/>
    <w:tmpl w:val="3DBA5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072A4"/>
    <w:multiLevelType w:val="multilevel"/>
    <w:tmpl w:val="7F600FF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140581"/>
    <w:multiLevelType w:val="multilevel"/>
    <w:tmpl w:val="AD8AF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E6BE6"/>
    <w:multiLevelType w:val="multilevel"/>
    <w:tmpl w:val="5D46E2A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0DB9"/>
    <w:multiLevelType w:val="multilevel"/>
    <w:tmpl w:val="4276396C"/>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364"/>
        </w:tabs>
        <w:ind w:left="1364" w:hanging="284"/>
      </w:pPr>
      <w:rPr>
        <w:rFonts w:ascii="Symbol" w:hAnsi="Symbol" w:hint="default"/>
        <w:b w:val="0"/>
        <w:i w:val="0"/>
        <w:sz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884085"/>
    <w:multiLevelType w:val="multilevel"/>
    <w:tmpl w:val="E70688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45614"/>
    <w:multiLevelType w:val="multilevel"/>
    <w:tmpl w:val="F8A202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BE7B94"/>
    <w:multiLevelType w:val="multilevel"/>
    <w:tmpl w:val="6A44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E560D4"/>
    <w:multiLevelType w:val="multilevel"/>
    <w:tmpl w:val="F65E1934"/>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7983777"/>
    <w:multiLevelType w:val="multilevel"/>
    <w:tmpl w:val="3502D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97161"/>
    <w:multiLevelType w:val="multilevel"/>
    <w:tmpl w:val="E85807C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63E4F"/>
    <w:multiLevelType w:val="multilevel"/>
    <w:tmpl w:val="1630A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D33E3"/>
    <w:multiLevelType w:val="multilevel"/>
    <w:tmpl w:val="B6A45D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A94224"/>
    <w:multiLevelType w:val="multilevel"/>
    <w:tmpl w:val="29BC5E20"/>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ᳬ¯瑒瞌輻瞌铠䔆±ʩᶈ¯ ±"/>
      <w:lvlJc w:val="left"/>
    </w:lvl>
    <w:lvl w:ilvl="2">
      <w:numFmt w:val="bullet"/>
      <w:lvlText w:val=" ᳬ¯瑒瞌輻瞌铠䔆±ʩᶈ¯ ±"/>
      <w:lvlJc w:val="left"/>
    </w:lvl>
    <w:lvl w:ilvl="3">
      <w:numFmt w:val="bullet"/>
      <w:lvlText w:val=" ᳬ¯瑒瞌輻瞌铠䔆±ʩᶈ¯ ±"/>
      <w:lvlJc w:val="left"/>
    </w:lvl>
    <w:lvl w:ilvl="4">
      <w:numFmt w:val="bullet"/>
      <w:lvlText w:val=" ᳬ¯瑒瞌輻瞌铠䔆±ʩᶈ¯ ±"/>
      <w:lvlJc w:val="left"/>
    </w:lvl>
    <w:lvl w:ilvl="5">
      <w:numFmt w:val="bullet"/>
      <w:lvlText w:val=" ᳬ¯瑒瞌輻瞌铠䔆±ʩᶈ¯ ±"/>
      <w:lvlJc w:val="left"/>
    </w:lvl>
    <w:lvl w:ilvl="6">
      <w:numFmt w:val="bullet"/>
      <w:lvlText w:val=" ᳬ¯瑒瞌輻瞌铠䔆±ʩᶈ¯ ±"/>
      <w:lvlJc w:val="left"/>
    </w:lvl>
    <w:lvl w:ilvl="7">
      <w:numFmt w:val="bullet"/>
      <w:lvlText w:val=" ᳬ¯瑒瞌輻瞌铠䔆±ʩᶈ¯ ±"/>
      <w:lvlJc w:val="left"/>
    </w:lvl>
    <w:lvl w:ilvl="8">
      <w:numFmt w:val="bullet"/>
      <w:lvlText w:val=" ᳬ¯瑒瞌輻瞌铠䔆±ʩᶈ¯ ±"/>
      <w:lvlJc w:val="left"/>
    </w:lvl>
  </w:abstractNum>
  <w:abstractNum w:abstractNumId="14" w15:restartNumberingAfterBreak="0">
    <w:nsid w:val="432C2FD4"/>
    <w:multiLevelType w:val="multilevel"/>
    <w:tmpl w:val="0FA23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B7ADC"/>
    <w:multiLevelType w:val="multilevel"/>
    <w:tmpl w:val="5044D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9E62DA"/>
    <w:multiLevelType w:val="multilevel"/>
    <w:tmpl w:val="015A238C"/>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CC1464A"/>
    <w:multiLevelType w:val="multilevel"/>
    <w:tmpl w:val="85DE06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03068"/>
    <w:multiLevelType w:val="multilevel"/>
    <w:tmpl w:val="9EC0B902"/>
    <w:lvl w:ilvl="0">
      <w:start w:val="1"/>
      <w:numFmt w:val="bullet"/>
      <w:lvlText w:val=""/>
      <w:lvlJc w:val="left"/>
      <w:pPr>
        <w:ind w:left="709" w:hanging="360"/>
      </w:pPr>
      <w:rPr>
        <w:rFonts w:ascii="Symbol" w:hAnsi="Symbol" w:hint="default"/>
      </w:rPr>
    </w:lvl>
    <w:lvl w:ilvl="1">
      <w:start w:val="1"/>
      <w:numFmt w:val="bullet"/>
      <w:lvlText w:val="o"/>
      <w:lvlJc w:val="left"/>
      <w:pPr>
        <w:ind w:left="1429" w:hanging="360"/>
      </w:pPr>
      <w:rPr>
        <w:rFonts w:ascii="Courier New" w:hAnsi="Courier New" w:cs="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cs="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cs="Courier New" w:hint="default"/>
      </w:rPr>
    </w:lvl>
    <w:lvl w:ilvl="8">
      <w:start w:val="1"/>
      <w:numFmt w:val="bullet"/>
      <w:lvlText w:val=""/>
      <w:lvlJc w:val="left"/>
      <w:pPr>
        <w:ind w:left="6469" w:hanging="360"/>
      </w:pPr>
      <w:rPr>
        <w:rFonts w:ascii="Wingdings" w:hAnsi="Wingdings" w:hint="default"/>
      </w:rPr>
    </w:lvl>
  </w:abstractNum>
  <w:abstractNum w:abstractNumId="19" w15:restartNumberingAfterBreak="0">
    <w:nsid w:val="553C2459"/>
    <w:multiLevelType w:val="multilevel"/>
    <w:tmpl w:val="3710E67C"/>
    <w:lvl w:ilvl="0">
      <w:start w:val="1"/>
      <w:numFmt w:val="decimal"/>
      <w:lvlText w:val="%1."/>
      <w:lvlJc w:val="left"/>
      <w:pPr>
        <w:ind w:left="720" w:hanging="360"/>
      </w:pPr>
      <w:rPr>
        <w:rFonts w:cs="Times New Roman"/>
      </w:rPr>
    </w:lvl>
    <w:lvl w:ilvl="1">
      <w:start w:val="3"/>
      <w:numFmt w:val="bullet"/>
      <w:lvlText w:val="-"/>
      <w:lvlJc w:val="left"/>
      <w:pPr>
        <w:ind w:left="1440" w:hanging="360"/>
      </w:pPr>
      <w:rPr>
        <w:rFonts w:ascii="Times New Roman" w:eastAsia="Times New Roman" w:hAnsi="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554E50BD"/>
    <w:multiLevelType w:val="multilevel"/>
    <w:tmpl w:val="49BE6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BA7F70"/>
    <w:multiLevelType w:val="multilevel"/>
    <w:tmpl w:val="6C380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1D68BC"/>
    <w:multiLevelType w:val="multilevel"/>
    <w:tmpl w:val="6E2AA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6060C2"/>
    <w:multiLevelType w:val="multilevel"/>
    <w:tmpl w:val="5C20CCC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28738A"/>
    <w:multiLevelType w:val="multilevel"/>
    <w:tmpl w:val="ACAA9C44"/>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9B2589"/>
    <w:multiLevelType w:val="multilevel"/>
    <w:tmpl w:val="647692F8"/>
    <w:lvl w:ilvl="0">
      <w:start w:val="1"/>
      <w:numFmt w:val="upp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6" w15:restartNumberingAfterBreak="0">
    <w:nsid w:val="67840E7A"/>
    <w:multiLevelType w:val="multilevel"/>
    <w:tmpl w:val="148EF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A30DBB"/>
    <w:multiLevelType w:val="multilevel"/>
    <w:tmpl w:val="C2781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3D232F"/>
    <w:multiLevelType w:val="multilevel"/>
    <w:tmpl w:val="FE129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D31C03"/>
    <w:multiLevelType w:val="multilevel"/>
    <w:tmpl w:val="B4AE2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AC4736"/>
    <w:multiLevelType w:val="multilevel"/>
    <w:tmpl w:val="3CF0457E"/>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ECD5A94"/>
    <w:multiLevelType w:val="multilevel"/>
    <w:tmpl w:val="5DEED3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num>
  <w:num w:numId="3">
    <w:abstractNumId w:val="4"/>
  </w:num>
  <w:num w:numId="4">
    <w:abstractNumId w:val="25"/>
  </w:num>
  <w:num w:numId="5">
    <w:abstractNumId w:val="9"/>
  </w:num>
  <w:num w:numId="6">
    <w:abstractNumId w:val="31"/>
  </w:num>
  <w:num w:numId="7">
    <w:abstractNumId w:val="13"/>
  </w:num>
  <w:num w:numId="8">
    <w:abstractNumId w:val="26"/>
  </w:num>
  <w:num w:numId="9">
    <w:abstractNumId w:val="27"/>
  </w:num>
  <w:num w:numId="10">
    <w:abstractNumId w:val="22"/>
  </w:num>
  <w:num w:numId="11">
    <w:abstractNumId w:val="16"/>
  </w:num>
  <w:num w:numId="12">
    <w:abstractNumId w:val="2"/>
  </w:num>
  <w:num w:numId="13">
    <w:abstractNumId w:val="29"/>
  </w:num>
  <w:num w:numId="14">
    <w:abstractNumId w:val="5"/>
  </w:num>
  <w:num w:numId="15">
    <w:abstractNumId w:val="21"/>
  </w:num>
  <w:num w:numId="16">
    <w:abstractNumId w:val="12"/>
  </w:num>
  <w:num w:numId="17">
    <w:abstractNumId w:val="19"/>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0"/>
  </w:num>
  <w:num w:numId="34">
    <w:abstractNumId w:val="28"/>
  </w:num>
  <w:num w:numId="35">
    <w:abstractNumId w:val="14"/>
  </w:num>
  <w:num w:numId="36">
    <w:abstractNumId w:val="6"/>
  </w:num>
  <w:num w:numId="37">
    <w:abstractNumId w:val="0"/>
  </w:num>
  <w:num w:numId="38">
    <w:abstractNumId w:val="7"/>
  </w:num>
  <w:num w:numId="39">
    <w:abstractNumId w:val="15"/>
  </w:num>
  <w:num w:numId="40">
    <w:abstractNumId w:val="1"/>
  </w:num>
  <w:num w:numId="41">
    <w:abstractNumId w:val="18"/>
  </w:num>
  <w:num w:numId="42">
    <w:abstractNumId w:val="20"/>
  </w:num>
  <w:num w:numId="43">
    <w:abstractNumId w:val="24"/>
  </w:num>
  <w:num w:numId="44">
    <w:abstractNumId w:val="23"/>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3DC"/>
    <w:rsid w:val="0044446F"/>
    <w:rsid w:val="004A0D1C"/>
    <w:rsid w:val="006774A7"/>
    <w:rsid w:val="007817DD"/>
    <w:rsid w:val="007B0045"/>
    <w:rsid w:val="008533DC"/>
    <w:rsid w:val="009F626F"/>
    <w:rsid w:val="00C32F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DEC4D"/>
  <w15:docId w15:val="{384897B2-4A33-4C76-84DC-283EBA6FC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qFormat/>
    <w:pPr>
      <w:keepNext/>
      <w:outlineLvl w:val="3"/>
    </w:pPr>
    <w:rPr>
      <w:rFonts w:ascii="Arial" w:hAnsi="Arial" w:cs="Arial"/>
      <w:b/>
      <w:bCs/>
      <w:i/>
      <w:iCs/>
      <w:sz w:val="22"/>
      <w:szCs w:val="20"/>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Corpsdetexte">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Grilledutableau">
    <w:name w:val="Table Grid"/>
    <w:basedOn w:val="Tableau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En-tteCar">
    <w:name w:val="En-tête Car"/>
    <w:basedOn w:val="Policepardfaut"/>
    <w:link w:val="En-tte"/>
    <w:uiPriority w:val="99"/>
    <w:rPr>
      <w:sz w:val="24"/>
      <w:szCs w:val="24"/>
      <w:lang w:val="fr-FR" w:eastAsia="fr-FR" w:bidi="ar-SA"/>
    </w:rPr>
  </w:style>
  <w:style w:type="character" w:styleId="Numrodepage">
    <w:name w:val="page number"/>
    <w:basedOn w:val="Policepardfau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1">
    <w:name w:val="Paragraphe de liste11"/>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Pr>
      <w:sz w:val="24"/>
      <w:szCs w:val="24"/>
      <w:lang w:val="fr-FR" w:eastAsia="fr-FR" w:bidi="ar-SA"/>
    </w:rPr>
  </w:style>
  <w:style w:type="paragraph" w:styleId="Notedebasdepage">
    <w:name w:val="footnote text"/>
    <w:basedOn w:val="Normal"/>
    <w:link w:val="NotedebasdepageCar"/>
    <w:uiPriority w:val="99"/>
    <w:semiHidden/>
    <w:rPr>
      <w:sz w:val="20"/>
      <w:szCs w:val="20"/>
    </w:rPr>
  </w:style>
  <w:style w:type="character" w:styleId="Appelnotedebasdep">
    <w:name w:val="footnote reference"/>
    <w:basedOn w:val="Policepardfaut"/>
    <w:uiPriority w:val="99"/>
    <w:rPr>
      <w:vertAlign w:val="superscript"/>
    </w:rPr>
  </w:style>
  <w:style w:type="character" w:styleId="Marquedecommentaire">
    <w:name w:val="annotation reference"/>
    <w:basedOn w:val="Policepardfaut"/>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character" w:styleId="Textedelespacerserv">
    <w:name w:val="Placeholder Text"/>
    <w:basedOn w:val="Policepardfaut"/>
    <w:uiPriority w:val="99"/>
    <w:semiHidden/>
    <w:rPr>
      <w:color w:val="808080"/>
    </w:rPr>
  </w:style>
  <w:style w:type="character" w:styleId="Lienhypertexte">
    <w:name w:val="Hyperlink"/>
    <w:basedOn w:val="Policepardfaut"/>
    <w:rPr>
      <w:color w:val="0000FF"/>
      <w:u w:val="single"/>
    </w:rPr>
  </w:style>
  <w:style w:type="paragraph" w:styleId="Paragraphedeliste">
    <w:name w:val="List Paragraph"/>
    <w:basedOn w:val="Normal"/>
    <w:link w:val="ParagraphedelisteCar"/>
    <w:uiPriority w:val="34"/>
    <w:qFormat/>
    <w:pPr>
      <w:ind w:left="720"/>
      <w:contextualSpacing/>
    </w:pPr>
  </w:style>
  <w:style w:type="paragraph" w:customStyle="1" w:styleId="Paragraphedeliste2">
    <w:name w:val="Paragraphe de liste2"/>
    <w:basedOn w:val="Normal"/>
    <w:link w:val="Paragraphedeliste2Car"/>
    <w:uiPriority w:val="34"/>
    <w:qFormat/>
    <w:pPr>
      <w:ind w:left="708"/>
    </w:p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s="Georgia"/>
      <w:color w:val="000000"/>
      <w:sz w:val="24"/>
      <w:szCs w:val="24"/>
    </w:rPr>
  </w:style>
  <w:style w:type="character" w:customStyle="1" w:styleId="PieddepageCar">
    <w:name w:val="Pied de page Car"/>
    <w:basedOn w:val="Policepardfaut"/>
    <w:link w:val="Pieddepage"/>
    <w:uiPriority w:val="99"/>
    <w:rPr>
      <w:sz w:val="24"/>
      <w:szCs w:val="24"/>
    </w:rPr>
  </w:style>
  <w:style w:type="paragraph" w:customStyle="1" w:styleId="textepuce2">
    <w:name w:val="texte puce2"/>
    <w:basedOn w:val="Normal"/>
    <w:pPr>
      <w:numPr>
        <w:numId w:val="7"/>
      </w:numPr>
      <w:spacing w:line="300" w:lineRule="atLeast"/>
    </w:pPr>
    <w:rPr>
      <w:rFonts w:ascii="Arial" w:eastAsia="Times" w:hAnsi="Arial"/>
      <w:sz w:val="20"/>
      <w:szCs w:val="20"/>
    </w:rPr>
  </w:style>
  <w:style w:type="character" w:customStyle="1" w:styleId="Titre1Car">
    <w:name w:val="Titre 1 Car"/>
    <w:basedOn w:val="Policepardfaut"/>
    <w:link w:val="Titre1"/>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Policepardfaut"/>
    <w:rPr>
      <w:rFonts w:cs="Times New Roman"/>
    </w:rPr>
  </w:style>
  <w:style w:type="character" w:customStyle="1" w:styleId="Paragraphedeliste2Car">
    <w:name w:val="Paragraphe de liste2 Car"/>
    <w:basedOn w:val="Policepardfaut"/>
    <w:link w:val="Paragraphedeliste2"/>
    <w:uiPriority w:val="34"/>
    <w:rPr>
      <w:sz w:val="24"/>
      <w:szCs w:val="24"/>
    </w:rPr>
  </w:style>
  <w:style w:type="character" w:customStyle="1" w:styleId="eop">
    <w:name w:val="eop"/>
    <w:basedOn w:val="Policepardfaut"/>
    <w:rPr>
      <w:rFonts w:cs="Times New Roman"/>
    </w:rPr>
  </w:style>
  <w:style w:type="paragraph" w:customStyle="1" w:styleId="paragraph">
    <w:name w:val="paragraph"/>
    <w:basedOn w:val="Normal"/>
    <w:pPr>
      <w:spacing w:before="100" w:beforeAutospacing="1" w:after="100" w:afterAutospacing="1"/>
    </w:pPr>
    <w:rPr>
      <w:lang w:val="en-US" w:eastAsia="en-US"/>
    </w:rPr>
  </w:style>
  <w:style w:type="character" w:customStyle="1" w:styleId="scxw189121755">
    <w:name w:val="scxw189121755"/>
    <w:basedOn w:val="Policepardfaut"/>
    <w:rPr>
      <w:rFonts w:cs="Times New Roman"/>
    </w:rPr>
  </w:style>
  <w:style w:type="character" w:customStyle="1" w:styleId="NotedebasdepageCar">
    <w:name w:val="Note de bas de page Car"/>
    <w:basedOn w:val="Policepardfaut"/>
    <w:link w:val="Notedebasdepage"/>
    <w:uiPriority w:val="99"/>
    <w:semiHidden/>
  </w:style>
  <w:style w:type="paragraph" w:styleId="NormalWeb">
    <w:name w:val="Normal (Web)"/>
    <w:basedOn w:val="Normal"/>
    <w:uiPriority w:val="99"/>
    <w:unhideWhenUsed/>
    <w:pPr>
      <w:spacing w:before="100" w:beforeAutospacing="1" w:after="100" w:afterAutospacing="1"/>
    </w:pPr>
  </w:style>
  <w:style w:type="paragraph" w:styleId="Rvision">
    <w:name w:val="Revision"/>
    <w:hidden/>
    <w:uiPriority w:val="99"/>
    <w:semiHidden/>
    <w:rPr>
      <w:sz w:val="24"/>
      <w:szCs w:val="24"/>
    </w:rPr>
  </w:style>
  <w:style w:type="character" w:customStyle="1" w:styleId="ParagraphedelisteCar">
    <w:name w:val="Paragraphe de liste Car"/>
    <w:link w:val="Paragraphedeliste"/>
    <w:uiPriority w:val="34"/>
    <w:qFormat/>
    <w:rPr>
      <w:sz w:val="24"/>
      <w:szCs w:val="24"/>
    </w:rPr>
  </w:style>
  <w:style w:type="character" w:customStyle="1" w:styleId="Mentionnonrsolue1">
    <w:name w:val="Mention non résolue1"/>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isefrance.f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ational-partnerships.ec.europa.eu/knowledge-hub/communicating-and-raising-eu-visibility-guidance-external-actions_e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aokbisnauth@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elia.maire@expertisefrance.f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nthony.dicanot@expertisefrance.fr"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statisticsguyana.gov.gy/subjects/national-accounts-and-production/contribution-gross-domestic-product-guyana-2012-to-2021/" TargetMode="External"/><Relationship Id="rId2" Type="http://schemas.openxmlformats.org/officeDocument/2006/relationships/hyperlink" Target="https://www.wwf.fr/sites/default/files/doc-2022-11/Gold%20mining%20impact%20on%20forest%20%26%20freshwater%20of%20the%20Guiana%20Shield%20-%20ECOSEO%20Project.pdf" TargetMode="External"/><Relationship Id="rId1" Type="http://schemas.openxmlformats.org/officeDocument/2006/relationships/hyperlink" Target="https://wwfint.awsassets.panda.org/downloads/deforestation_fronts_factsheet___venezuela_and_guyana.pdf" TargetMode="External"/><Relationship Id="rId6" Type="http://schemas.openxmlformats.org/officeDocument/2006/relationships/hyperlink" Target="https://www.inbar.int/" TargetMode="External"/><Relationship Id="rId5" Type="http://schemas.openxmlformats.org/officeDocument/2006/relationships/hyperlink" Target="https://lcds.gov.gy/wp-content/uploads/2022/08/Guyanas-Low-Carbon-Development-Strategy-2030.pdf" TargetMode="External"/><Relationship Id="rId4" Type="http://schemas.openxmlformats.org/officeDocument/2006/relationships/hyperlink" Target="file:///C:\Users\julie.grunner\Downloads\Code%20of%20Practice%20-%20Mine%20Reclamation.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C81AB-30F1-41EA-A0E5-CF5D23978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3442</Words>
  <Characters>18931</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subject/>
  <dc:creator>TRADUTEC</dc:creator>
  <cp:keywords/>
  <dc:description/>
  <cp:lastModifiedBy>Loelia MAIRE</cp:lastModifiedBy>
  <cp:revision>3</cp:revision>
  <dcterms:created xsi:type="dcterms:W3CDTF">2025-09-29T13:27:00Z</dcterms:created>
  <dcterms:modified xsi:type="dcterms:W3CDTF">2025-09-29T13:43:00Z</dcterms:modified>
</cp:coreProperties>
</file>